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cs="宋体"/>
          <w:szCs w:val="32"/>
        </w:rPr>
      </w:pPr>
    </w:p>
    <w:p>
      <w:pPr>
        <w:rPr>
          <w:rFonts w:ascii="方正小标宋简体" w:hAnsi="仿宋" w:eastAsia="方正小标宋简体"/>
          <w:sz w:val="44"/>
          <w:szCs w:val="44"/>
        </w:rPr>
      </w:pPr>
    </w:p>
    <w:p>
      <w:pPr>
        <w:rPr>
          <w:rFonts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2018年度中等职业学校质量年度报告</w:t>
      </w:r>
    </w:p>
    <w:p>
      <w:pPr>
        <w:rPr>
          <w:rFonts w:ascii="仿宋_GB2312" w:hAnsi="仿宋" w:eastAsia="仿宋_GB2312"/>
          <w:szCs w:val="32"/>
        </w:rPr>
      </w:pPr>
    </w:p>
    <w:p>
      <w:pPr>
        <w:ind w:firstLine="640" w:firstLineChars="200"/>
        <w:rPr>
          <w:rFonts w:ascii="仿宋" w:hAnsi="仿宋" w:cs="宋体"/>
          <w:szCs w:val="32"/>
        </w:rPr>
      </w:pPr>
    </w:p>
    <w:p>
      <w:pPr>
        <w:ind w:firstLine="640" w:firstLineChars="200"/>
        <w:rPr>
          <w:rFonts w:ascii="仿宋" w:hAnsi="仿宋" w:cs="宋体"/>
          <w:szCs w:val="32"/>
        </w:rPr>
      </w:pPr>
    </w:p>
    <w:p>
      <w:pPr>
        <w:ind w:firstLine="640" w:firstLineChars="200"/>
        <w:rPr>
          <w:rFonts w:ascii="仿宋" w:hAnsi="仿宋" w:cs="宋体"/>
          <w:szCs w:val="32"/>
        </w:rPr>
      </w:pPr>
    </w:p>
    <w:p>
      <w:pPr>
        <w:rPr>
          <w:rFonts w:ascii="仿宋" w:hAnsi="仿宋" w:cs="宋体"/>
          <w:szCs w:val="32"/>
        </w:rPr>
      </w:pPr>
    </w:p>
    <w:p>
      <w:pPr>
        <w:ind w:firstLine="640" w:firstLineChars="200"/>
        <w:rPr>
          <w:rFonts w:ascii="仿宋" w:hAnsi="仿宋" w:cs="宋体"/>
          <w:szCs w:val="32"/>
        </w:rPr>
      </w:pPr>
    </w:p>
    <w:p>
      <w:pPr>
        <w:ind w:firstLine="960" w:firstLineChars="300"/>
        <w:rPr>
          <w:rFonts w:ascii="仿宋" w:hAnsi="仿宋" w:cs="仿宋"/>
          <w:szCs w:val="32"/>
        </w:rPr>
      </w:pPr>
      <w:r>
        <w:rPr>
          <w:rFonts w:hint="eastAsia" w:ascii="仿宋" w:hAnsi="仿宋" w:cs="仿宋"/>
          <w:szCs w:val="32"/>
        </w:rPr>
        <w:t>学    校：   辽宁丰田金杯技师学院        （盖公章）</w:t>
      </w:r>
    </w:p>
    <w:p>
      <w:pPr>
        <w:ind w:firstLine="960" w:firstLineChars="300"/>
        <w:rPr>
          <w:rFonts w:ascii="仿宋" w:hAnsi="仿宋" w:cs="仿宋"/>
          <w:szCs w:val="32"/>
        </w:rPr>
      </w:pPr>
      <w:r>
        <w:rPr>
          <w:rFonts w:ascii="仿宋" w:hAnsi="仿宋" w:cs="仿宋"/>
          <w:szCs w:val="32"/>
        </w:rPr>
        <w:pict>
          <v:shape id="_x0000_s1026" o:spid="_x0000_s1026" o:spt="32" type="#_x0000_t32" style="position:absolute;left:0pt;margin-left:128.25pt;margin-top:2.25pt;height:0pt;width:247.5pt;z-index:251656192;mso-width-relative:page;mso-height-relative:page;" o:connectortype="straight" filled="f" coordsize="21600,21600">
            <v:path arrowok="t"/>
            <v:fill on="f" focussize="0,0"/>
            <v:stroke/>
            <v:imagedata o:title=""/>
            <o:lock v:ext="edit"/>
          </v:shape>
        </w:pict>
      </w:r>
      <w:r>
        <w:rPr>
          <w:rFonts w:hint="eastAsia" w:ascii="仿宋" w:hAnsi="仿宋" w:cs="仿宋"/>
          <w:szCs w:val="32"/>
        </w:rPr>
        <w:t>负 责 人：         沈  毅</w:t>
      </w:r>
    </w:p>
    <w:p>
      <w:pPr>
        <w:ind w:firstLine="960" w:firstLineChars="300"/>
        <w:rPr>
          <w:rFonts w:ascii="仿宋" w:hAnsi="仿宋" w:cs="仿宋"/>
          <w:szCs w:val="32"/>
        </w:rPr>
      </w:pPr>
      <w:r>
        <w:rPr>
          <w:rFonts w:ascii="仿宋" w:hAnsi="仿宋" w:cs="仿宋"/>
          <w:szCs w:val="32"/>
        </w:rPr>
        <w:pict>
          <v:shape id="_x0000_s1027" o:spid="_x0000_s1027" o:spt="32" type="#_x0000_t32" style="position:absolute;left:0pt;margin-left:128.25pt;margin-top:1.5pt;height:0pt;width:247.5pt;z-index:251657216;mso-width-relative:page;mso-height-relative:page;" o:connectortype="straight" filled="f" coordsize="21600,21600">
            <v:path arrowok="t"/>
            <v:fill on="f" focussize="0,0"/>
            <v:stroke/>
            <v:imagedata o:title=""/>
            <o:lock v:ext="edit"/>
          </v:shape>
        </w:pict>
      </w:r>
      <w:r>
        <w:rPr>
          <w:rFonts w:hint="eastAsia" w:ascii="仿宋" w:hAnsi="仿宋" w:cs="仿宋"/>
          <w:szCs w:val="32"/>
        </w:rPr>
        <w:t>填 报 人：         刘玉娟</w:t>
      </w:r>
    </w:p>
    <w:p>
      <w:pPr>
        <w:rPr>
          <w:rFonts w:ascii="仿宋" w:hAnsi="仿宋" w:cs="仿宋"/>
          <w:szCs w:val="32"/>
        </w:rPr>
      </w:pPr>
      <w:r>
        <w:rPr>
          <w:rFonts w:ascii="仿宋" w:hAnsi="仿宋" w:cs="仿宋"/>
          <w:szCs w:val="32"/>
        </w:rPr>
        <w:pict>
          <v:shape id="_x0000_s1029" o:spid="_x0000_s1029" o:spt="32" type="#_x0000_t32" style="position:absolute;left:0pt;margin-left:128.25pt;margin-top:33pt;height:0pt;width:247.5pt;z-index:251659264;mso-width-relative:page;mso-height-relative:page;" o:connectortype="straight" filled="f" coordsize="21600,21600">
            <v:path arrowok="t"/>
            <v:fill on="f" focussize="0,0"/>
            <v:stroke/>
            <v:imagedata o:title=""/>
            <o:lock v:ext="edit"/>
          </v:shape>
        </w:pict>
      </w:r>
      <w:r>
        <w:rPr>
          <w:rFonts w:ascii="仿宋" w:hAnsi="仿宋" w:cs="仿宋"/>
          <w:szCs w:val="32"/>
        </w:rPr>
        <w:pict>
          <v:shape id="_x0000_s1028" o:spid="_x0000_s1028" o:spt="32" type="#_x0000_t32" style="position:absolute;left:0pt;margin-left:128.25pt;margin-top:0pt;height:0pt;width:247.5pt;z-index:251658240;mso-width-relative:page;mso-height-relative:page;" o:connectortype="straight" filled="f" coordsize="21600,21600">
            <v:path arrowok="t"/>
            <v:fill on="f" focussize="0,0"/>
            <v:stroke/>
            <v:imagedata o:title=""/>
            <o:lock v:ext="edit"/>
          </v:shape>
        </w:pict>
      </w:r>
      <w:r>
        <w:rPr>
          <w:rFonts w:hint="eastAsia" w:ascii="仿宋" w:hAnsi="仿宋" w:cs="仿宋"/>
          <w:szCs w:val="32"/>
        </w:rPr>
        <w:t xml:space="preserve">      联系电话：      024-24824949</w:t>
      </w:r>
    </w:p>
    <w:p>
      <w:pPr>
        <w:spacing w:line="700" w:lineRule="exact"/>
        <w:rPr>
          <w:rFonts w:ascii="仿宋" w:hAnsi="仿宋" w:cs="仿宋"/>
          <w:szCs w:val="32"/>
        </w:rPr>
      </w:pPr>
    </w:p>
    <w:p>
      <w:pPr>
        <w:spacing w:line="700" w:lineRule="exact"/>
        <w:rPr>
          <w:rFonts w:ascii="仿宋" w:hAnsi="仿宋" w:cs="仿宋"/>
          <w:szCs w:val="32"/>
        </w:rPr>
      </w:pPr>
    </w:p>
    <w:p>
      <w:pPr>
        <w:jc w:val="center"/>
        <w:rPr>
          <w:rFonts w:ascii="仿宋" w:hAnsi="仿宋" w:cs="仿宋"/>
          <w:szCs w:val="32"/>
        </w:rPr>
      </w:pPr>
      <w:r>
        <w:rPr>
          <w:rFonts w:hint="eastAsia" w:ascii="仿宋" w:hAnsi="仿宋" w:cs="仿宋"/>
          <w:szCs w:val="32"/>
        </w:rPr>
        <w:t>沈阳市教育局监制</w:t>
      </w:r>
    </w:p>
    <w:p>
      <w:pPr>
        <w:jc w:val="center"/>
        <w:rPr>
          <w:rFonts w:ascii="仿宋" w:hAnsi="仿宋" w:cs="仿宋"/>
          <w:szCs w:val="32"/>
        </w:rPr>
      </w:pPr>
      <w:r>
        <w:rPr>
          <w:rFonts w:hint="eastAsia" w:ascii="仿宋" w:hAnsi="仿宋" w:cs="仿宋"/>
          <w:szCs w:val="32"/>
        </w:rPr>
        <w:t>日期：2018年12月</w:t>
      </w:r>
    </w:p>
    <w:p>
      <w:pPr>
        <w:spacing w:line="700" w:lineRule="exact"/>
        <w:jc w:val="both"/>
        <w:rPr>
          <w:rFonts w:ascii="黑体" w:hAnsi="黑体" w:eastAsia="黑体" w:cs="宋体"/>
          <w:szCs w:val="32"/>
        </w:rPr>
      </w:pPr>
    </w:p>
    <w:p>
      <w:pPr>
        <w:jc w:val="center"/>
        <w:rPr>
          <w:rFonts w:ascii="方正小标宋简体" w:hAnsi="仿宋" w:eastAsia="方正小标宋简体"/>
          <w:sz w:val="44"/>
          <w:szCs w:val="44"/>
        </w:rPr>
        <w:sectPr>
          <w:pgSz w:w="11906" w:h="16838"/>
          <w:pgMar w:top="2098" w:right="1474" w:bottom="1984" w:left="1587" w:header="851" w:footer="992" w:gutter="0"/>
          <w:cols w:space="720" w:num="1"/>
          <w:docGrid w:type="lines" w:linePitch="439" w:charSpace="0"/>
        </w:sectPr>
      </w:pPr>
    </w:p>
    <w:p>
      <w:pPr>
        <w:jc w:val="center"/>
        <w:rPr>
          <w:rFonts w:ascii="仿宋_GB2312" w:eastAsia="仿宋_GB2312"/>
        </w:rPr>
      </w:pPr>
      <w:r>
        <w:rPr>
          <w:rFonts w:hint="eastAsia" w:ascii="方正小标宋简体" w:hAnsi="仿宋" w:eastAsia="方正小标宋简体"/>
          <w:sz w:val="44"/>
          <w:szCs w:val="44"/>
        </w:rPr>
        <w:t>2018年度中等职业学校质量年度报告</w:t>
      </w:r>
    </w:p>
    <w:p>
      <w:pPr>
        <w:rPr>
          <w:rFonts w:ascii="仿宋_GB2312" w:eastAsia="仿宋_GB2312"/>
        </w:rPr>
      </w:pPr>
    </w:p>
    <w:p>
      <w:pPr>
        <w:ind w:firstLine="640"/>
        <w:rPr>
          <w:rFonts w:ascii="仿宋" w:hAnsi="仿宋" w:cs="仿宋"/>
        </w:rPr>
      </w:pPr>
      <w:r>
        <w:rPr>
          <w:rFonts w:hint="eastAsia" w:ascii="仿宋" w:hAnsi="仿宋" w:cs="仿宋"/>
        </w:rPr>
        <w:t>辽宁丰田金杯技师学院(以下简称学院）的前身是由中国汽车工业总公司、金杯汽车股份有限公司与丰田汽车公司（以下简称丰田公司）于1989年合作创建的中国汽车工业丰田金杯技工培训中心。</w:t>
      </w:r>
      <w:r>
        <w:rPr>
          <w:rFonts w:hint="eastAsia" w:ascii="仿宋" w:hAnsi="仿宋" w:cs="仿宋"/>
          <w:szCs w:val="32"/>
        </w:rPr>
        <w:t>1998年2月经国家劳动部和国家计委批准晋升为辽宁金杯高级技工学校。2009年5月经辽宁省政府批准晋升为辽宁丰田金杯技师学院。学院经过28年的发展，已建设成为一所集职业教育、职业培训、技能鉴定、竞赛集训、就业服务于一体的综合性职业院校，</w:t>
      </w:r>
      <w:r>
        <w:rPr>
          <w:rFonts w:hint="eastAsia" w:ascii="仿宋" w:hAnsi="仿宋" w:cs="仿宋"/>
        </w:rPr>
        <w:t>是国家级高技能人才培训基地，</w:t>
      </w:r>
      <w:r>
        <w:rPr>
          <w:rFonts w:hint="eastAsia"/>
        </w:rPr>
        <w:t>国家级铣工专业技能大师工作站，全国职工教育培训示范点，</w:t>
      </w:r>
      <w:r>
        <w:rPr>
          <w:rFonts w:hint="eastAsia" w:ascii="仿宋" w:hAnsi="仿宋" w:cs="仿宋"/>
        </w:rPr>
        <w:t>首批国家中等职业教育改革发展示范学校,教育部“双师型”硕士研究生教学实践基地，世界技能大赛原型制作项目中国集训基地。</w:t>
      </w:r>
    </w:p>
    <w:p>
      <w:pPr>
        <w:rPr>
          <w:rFonts w:ascii="仿宋" w:hAnsi="仿宋" w:cs="宋体"/>
          <w:szCs w:val="32"/>
        </w:rPr>
      </w:pPr>
      <w:r>
        <w:rPr>
          <w:rFonts w:hint="eastAsia" w:ascii="黑体" w:hAnsi="黑体" w:eastAsia="黑体" w:cs="宋体"/>
          <w:szCs w:val="32"/>
        </w:rPr>
        <w:t>1.学校情况</w:t>
      </w:r>
    </w:p>
    <w:p>
      <w:pPr>
        <w:rPr>
          <w:rFonts w:ascii="仿宋" w:hAnsi="仿宋" w:cs="宋体"/>
          <w:b/>
          <w:szCs w:val="32"/>
        </w:rPr>
      </w:pPr>
      <w:r>
        <w:rPr>
          <w:rFonts w:hint="eastAsia" w:ascii="仿宋" w:hAnsi="仿宋" w:cs="宋体"/>
          <w:b/>
          <w:szCs w:val="32"/>
        </w:rPr>
        <w:t>1.1学校概况</w:t>
      </w:r>
    </w:p>
    <w:p>
      <w:pPr>
        <w:ind w:firstLine="640"/>
        <w:rPr>
          <w:rFonts w:ascii="仿宋" w:hAnsi="仿宋" w:cs="宋体"/>
          <w:szCs w:val="32"/>
        </w:rPr>
      </w:pPr>
      <w:r>
        <w:rPr>
          <w:rFonts w:hint="eastAsia" w:ascii="仿宋" w:hAnsi="仿宋" w:cs="宋体"/>
          <w:szCs w:val="32"/>
        </w:rPr>
        <w:t>学院坐落在辽宁省省会沈阳，位于沈阳城区东南，沈水北岸。占地面积6万平方米，建筑面积5.8万平方米，</w:t>
      </w:r>
      <w:r>
        <w:rPr>
          <w:rFonts w:hint="eastAsia" w:ascii="仿宋" w:hAnsi="仿宋" w:cs="宋体"/>
          <w:szCs w:val="32"/>
          <w:highlight w:val="none"/>
        </w:rPr>
        <w:t>资产总额1.6亿元。</w:t>
      </w:r>
      <w:r>
        <w:rPr>
          <w:rFonts w:hint="eastAsia" w:ascii="仿宋" w:hAnsi="仿宋" w:cs="宋体"/>
          <w:szCs w:val="32"/>
        </w:rPr>
        <w:t>学院隶属于辽宁省龙头企业——华晨汽车集团控股有限公司，是省属国有企业举办的事业单位。学院建立企业法人治理结构，实行董事会领导下的院长负责制。</w:t>
      </w:r>
    </w:p>
    <w:p>
      <w:pPr>
        <w:adjustRightInd w:val="0"/>
        <w:snapToGrid w:val="0"/>
        <w:ind w:firstLine="420"/>
        <w:rPr>
          <w:rFonts w:ascii="仿宋" w:hAnsi="仿宋" w:cs="宋体"/>
          <w:szCs w:val="32"/>
        </w:rPr>
      </w:pPr>
      <w:r>
        <w:rPr>
          <w:rFonts w:hint="eastAsia" w:ascii="仿宋" w:hAnsi="仿宋" w:cs="仿宋"/>
          <w:szCs w:val="32"/>
          <w:shd w:val="clear" w:color="auto" w:fill="FFFFFF"/>
        </w:rPr>
        <w:t xml:space="preserve"> 学院设有汽车工程系、机械工程系、电气工程系、基础部、实习厂等5个教学部门，开设</w:t>
      </w:r>
      <w:r>
        <w:rPr>
          <w:rFonts w:hint="eastAsia" w:ascii="仿宋" w:hAnsi="仿宋" w:cs="仿宋"/>
          <w:szCs w:val="32"/>
        </w:rPr>
        <w:t>汽车检测、汽车制造与装配、汽车营销、汽车电器维修、汽车维修、汽车装饰与美容、数控加工、数控编程、模具制造、机床切削加工、焊接加工、电气自动化设备安装与维修、机电设备安装与维修、机械设备装配与自动控制、机械设备维修、工业机器人技术等16个专业。目前全日制</w:t>
      </w:r>
      <w:r>
        <w:rPr>
          <w:rFonts w:hint="eastAsia" w:ascii="仿宋" w:hAnsi="仿宋" w:cs="仿宋"/>
          <w:szCs w:val="32"/>
          <w:lang w:eastAsia="zh-CN"/>
        </w:rPr>
        <w:t>学生</w:t>
      </w:r>
      <w:r>
        <w:rPr>
          <w:rFonts w:hint="eastAsia" w:ascii="仿宋" w:hAnsi="仿宋" w:cs="仿宋"/>
          <w:szCs w:val="32"/>
          <w:lang w:val="en-US" w:eastAsia="zh-CN"/>
        </w:rPr>
        <w:t>20</w:t>
      </w:r>
      <w:r>
        <w:rPr>
          <w:rFonts w:hint="eastAsia" w:ascii="仿宋" w:hAnsi="仿宋" w:cs="仿宋"/>
          <w:szCs w:val="32"/>
          <w:highlight w:val="none"/>
          <w:lang w:val="en-US" w:eastAsia="zh-CN"/>
        </w:rPr>
        <w:t>56</w:t>
      </w:r>
      <w:r>
        <w:rPr>
          <w:rFonts w:hint="eastAsia" w:ascii="仿宋" w:hAnsi="仿宋" w:cs="仿宋"/>
          <w:szCs w:val="32"/>
          <w:highlight w:val="none"/>
        </w:rPr>
        <w:t>人。</w:t>
      </w:r>
    </w:p>
    <w:p>
      <w:pPr>
        <w:rPr>
          <w:rFonts w:ascii="仿宋" w:hAnsi="仿宋" w:cs="宋体"/>
          <w:b/>
          <w:szCs w:val="32"/>
        </w:rPr>
      </w:pPr>
      <w:r>
        <w:rPr>
          <w:rFonts w:hint="eastAsia" w:ascii="仿宋" w:hAnsi="仿宋" w:cs="宋体"/>
          <w:b/>
          <w:szCs w:val="32"/>
        </w:rPr>
        <w:t>1.2学生情况</w:t>
      </w:r>
    </w:p>
    <w:p>
      <w:pPr>
        <w:ind w:firstLine="640"/>
        <w:rPr>
          <w:rFonts w:ascii="仿宋" w:hAnsi="仿宋" w:cs="宋体"/>
          <w:szCs w:val="32"/>
        </w:rPr>
      </w:pPr>
      <w:r>
        <w:rPr>
          <w:rFonts w:hint="eastAsia" w:ascii="仿宋" w:hAnsi="仿宋" w:cs="宋体"/>
          <w:szCs w:val="32"/>
        </w:rPr>
        <w:t>学院严格执行上级主管部门颁布的有关招生政策和规定，根据学校资源配置和就业市场需求制定招生计划，广泛开展招生宣传咨询，不断提升新生报到率和稳定率。</w:t>
      </w:r>
    </w:p>
    <w:p>
      <w:pPr>
        <w:spacing w:beforeLines="50"/>
        <w:jc w:val="center"/>
        <w:rPr>
          <w:rFonts w:ascii="仿宋" w:hAnsi="仿宋" w:cs="宋体"/>
          <w:sz w:val="28"/>
          <w:szCs w:val="28"/>
        </w:rPr>
      </w:pPr>
      <w:r>
        <w:rPr>
          <w:rFonts w:hint="eastAsia" w:ascii="仿宋" w:hAnsi="仿宋" w:cs="宋体"/>
          <w:sz w:val="28"/>
          <w:szCs w:val="28"/>
        </w:rPr>
        <w:t>表1 招生录取情况</w:t>
      </w:r>
    </w:p>
    <w:tbl>
      <w:tblPr>
        <w:tblStyle w:val="12"/>
        <w:tblW w:w="8602" w:type="dxa"/>
        <w:jc w:val="center"/>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5"/>
        <w:gridCol w:w="2627"/>
        <w:gridCol w:w="2100"/>
        <w:gridCol w:w="2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 w:hRule="atLeast"/>
          <w:jc w:val="center"/>
        </w:trPr>
        <w:tc>
          <w:tcPr>
            <w:tcW w:w="1055" w:type="dxa"/>
            <w:shd w:val="clear" w:color="auto" w:fill="auto"/>
            <w:vAlign w:val="center"/>
          </w:tcPr>
          <w:p>
            <w:pPr>
              <w:spacing w:line="240" w:lineRule="auto"/>
              <w:jc w:val="center"/>
              <w:rPr>
                <w:rFonts w:ascii="仿宋" w:hAnsi="仿宋"/>
                <w:b/>
                <w:sz w:val="24"/>
                <w:szCs w:val="24"/>
              </w:rPr>
            </w:pPr>
            <w:r>
              <w:rPr>
                <w:rFonts w:hint="eastAsia" w:ascii="仿宋" w:hAnsi="仿宋"/>
                <w:b/>
                <w:sz w:val="24"/>
                <w:szCs w:val="24"/>
              </w:rPr>
              <w:t>年 度</w:t>
            </w:r>
          </w:p>
        </w:tc>
        <w:tc>
          <w:tcPr>
            <w:tcW w:w="2627" w:type="dxa"/>
            <w:shd w:val="clear" w:color="auto" w:fill="auto"/>
            <w:vAlign w:val="center"/>
          </w:tcPr>
          <w:p>
            <w:pPr>
              <w:spacing w:line="240" w:lineRule="auto"/>
              <w:jc w:val="center"/>
              <w:rPr>
                <w:rFonts w:ascii="仿宋" w:hAnsi="仿宋"/>
                <w:b/>
                <w:sz w:val="24"/>
                <w:szCs w:val="24"/>
              </w:rPr>
            </w:pPr>
            <w:r>
              <w:rPr>
                <w:rFonts w:hint="eastAsia" w:ascii="仿宋" w:hAnsi="仿宋"/>
                <w:b/>
                <w:sz w:val="24"/>
                <w:szCs w:val="24"/>
              </w:rPr>
              <w:t>实际招录数</w:t>
            </w:r>
          </w:p>
        </w:tc>
        <w:tc>
          <w:tcPr>
            <w:tcW w:w="2100" w:type="dxa"/>
            <w:shd w:val="clear" w:color="auto" w:fill="auto"/>
            <w:vAlign w:val="center"/>
          </w:tcPr>
          <w:p>
            <w:pPr>
              <w:spacing w:line="240" w:lineRule="auto"/>
              <w:jc w:val="center"/>
              <w:rPr>
                <w:rFonts w:ascii="仿宋" w:hAnsi="仿宋"/>
                <w:b/>
                <w:sz w:val="24"/>
                <w:szCs w:val="24"/>
              </w:rPr>
            </w:pPr>
            <w:r>
              <w:rPr>
                <w:rFonts w:hint="eastAsia" w:ascii="仿宋" w:hAnsi="仿宋"/>
                <w:b/>
                <w:sz w:val="24"/>
                <w:szCs w:val="24"/>
              </w:rPr>
              <w:t>中级工</w:t>
            </w:r>
          </w:p>
        </w:tc>
        <w:tc>
          <w:tcPr>
            <w:tcW w:w="2820" w:type="dxa"/>
            <w:shd w:val="clear" w:color="auto" w:fill="auto"/>
            <w:vAlign w:val="center"/>
          </w:tcPr>
          <w:p>
            <w:pPr>
              <w:spacing w:line="240" w:lineRule="auto"/>
              <w:jc w:val="center"/>
              <w:rPr>
                <w:rFonts w:ascii="仿宋" w:hAnsi="仿宋"/>
                <w:b/>
                <w:sz w:val="24"/>
                <w:szCs w:val="24"/>
              </w:rPr>
            </w:pPr>
            <w:r>
              <w:rPr>
                <w:rFonts w:hint="eastAsia" w:ascii="仿宋" w:hAnsi="仿宋"/>
                <w:b/>
                <w:sz w:val="24"/>
                <w:szCs w:val="24"/>
              </w:rPr>
              <w:t>高级工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55" w:type="dxa"/>
            <w:shd w:val="clear" w:color="auto" w:fill="auto"/>
            <w:vAlign w:val="center"/>
          </w:tcPr>
          <w:p>
            <w:pPr>
              <w:spacing w:line="240" w:lineRule="auto"/>
              <w:jc w:val="center"/>
              <w:rPr>
                <w:rFonts w:ascii="仿宋" w:hAnsi="仿宋"/>
                <w:sz w:val="24"/>
                <w:szCs w:val="24"/>
              </w:rPr>
            </w:pPr>
            <w:r>
              <w:rPr>
                <w:rFonts w:hint="eastAsia" w:ascii="仿宋" w:hAnsi="仿宋"/>
                <w:sz w:val="24"/>
                <w:szCs w:val="24"/>
              </w:rPr>
              <w:t>2017</w:t>
            </w:r>
          </w:p>
        </w:tc>
        <w:tc>
          <w:tcPr>
            <w:tcW w:w="2627" w:type="dxa"/>
            <w:shd w:val="clear" w:color="auto" w:fill="auto"/>
            <w:vAlign w:val="center"/>
          </w:tcPr>
          <w:p>
            <w:pPr>
              <w:spacing w:line="240" w:lineRule="auto"/>
              <w:jc w:val="center"/>
              <w:rPr>
                <w:rFonts w:ascii="仿宋" w:hAnsi="仿宋"/>
                <w:sz w:val="24"/>
                <w:szCs w:val="24"/>
              </w:rPr>
            </w:pPr>
            <w:r>
              <w:rPr>
                <w:rFonts w:hint="eastAsia" w:ascii="仿宋" w:hAnsi="仿宋"/>
                <w:sz w:val="24"/>
                <w:szCs w:val="24"/>
              </w:rPr>
              <w:t>821</w:t>
            </w:r>
          </w:p>
        </w:tc>
        <w:tc>
          <w:tcPr>
            <w:tcW w:w="2100" w:type="dxa"/>
            <w:shd w:val="clear" w:color="auto" w:fill="auto"/>
            <w:vAlign w:val="center"/>
          </w:tcPr>
          <w:p>
            <w:pPr>
              <w:spacing w:line="240" w:lineRule="auto"/>
              <w:jc w:val="center"/>
              <w:rPr>
                <w:rFonts w:ascii="仿宋" w:hAnsi="仿宋"/>
                <w:sz w:val="24"/>
                <w:szCs w:val="24"/>
              </w:rPr>
            </w:pPr>
            <w:r>
              <w:rPr>
                <w:rFonts w:hint="eastAsia" w:ascii="仿宋" w:hAnsi="仿宋"/>
                <w:sz w:val="24"/>
                <w:szCs w:val="24"/>
              </w:rPr>
              <w:t>684</w:t>
            </w:r>
          </w:p>
        </w:tc>
        <w:tc>
          <w:tcPr>
            <w:tcW w:w="2820" w:type="dxa"/>
            <w:shd w:val="clear" w:color="auto" w:fill="auto"/>
            <w:vAlign w:val="center"/>
          </w:tcPr>
          <w:p>
            <w:pPr>
              <w:spacing w:line="240" w:lineRule="auto"/>
              <w:jc w:val="center"/>
              <w:rPr>
                <w:rFonts w:ascii="仿宋" w:hAnsi="仿宋"/>
                <w:sz w:val="24"/>
                <w:szCs w:val="24"/>
              </w:rPr>
            </w:pPr>
            <w:r>
              <w:rPr>
                <w:rFonts w:hint="eastAsia" w:ascii="仿宋" w:hAnsi="仿宋"/>
                <w:sz w:val="24"/>
                <w:szCs w:val="24"/>
              </w:rPr>
              <w:t>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55" w:type="dxa"/>
            <w:shd w:val="clear" w:color="auto" w:fill="auto"/>
            <w:vAlign w:val="center"/>
          </w:tcPr>
          <w:p>
            <w:pPr>
              <w:spacing w:line="240" w:lineRule="auto"/>
              <w:jc w:val="center"/>
              <w:rPr>
                <w:rFonts w:ascii="仿宋" w:hAnsi="仿宋"/>
                <w:sz w:val="24"/>
                <w:szCs w:val="24"/>
              </w:rPr>
            </w:pPr>
            <w:r>
              <w:rPr>
                <w:rFonts w:hint="eastAsia" w:ascii="仿宋" w:hAnsi="仿宋"/>
                <w:sz w:val="24"/>
                <w:szCs w:val="24"/>
              </w:rPr>
              <w:t>201</w:t>
            </w:r>
            <w:r>
              <w:rPr>
                <w:rFonts w:ascii="仿宋" w:hAnsi="仿宋"/>
                <w:sz w:val="24"/>
                <w:szCs w:val="24"/>
              </w:rPr>
              <w:t>8</w:t>
            </w:r>
          </w:p>
        </w:tc>
        <w:tc>
          <w:tcPr>
            <w:tcW w:w="2627" w:type="dxa"/>
            <w:shd w:val="clear" w:color="auto" w:fill="auto"/>
            <w:vAlign w:val="center"/>
          </w:tcPr>
          <w:p>
            <w:pPr>
              <w:spacing w:line="240" w:lineRule="auto"/>
              <w:jc w:val="center"/>
              <w:rPr>
                <w:rFonts w:ascii="仿宋" w:hAnsi="仿宋"/>
                <w:sz w:val="24"/>
                <w:szCs w:val="24"/>
              </w:rPr>
            </w:pPr>
            <w:r>
              <w:rPr>
                <w:rFonts w:ascii="仿宋" w:hAnsi="仿宋"/>
                <w:sz w:val="24"/>
                <w:szCs w:val="24"/>
              </w:rPr>
              <w:t>547</w:t>
            </w:r>
          </w:p>
        </w:tc>
        <w:tc>
          <w:tcPr>
            <w:tcW w:w="2100" w:type="dxa"/>
            <w:shd w:val="clear" w:color="auto" w:fill="auto"/>
            <w:vAlign w:val="center"/>
          </w:tcPr>
          <w:p>
            <w:pPr>
              <w:spacing w:line="240" w:lineRule="auto"/>
              <w:jc w:val="center"/>
              <w:rPr>
                <w:rFonts w:ascii="仿宋" w:hAnsi="仿宋"/>
                <w:sz w:val="24"/>
                <w:szCs w:val="24"/>
              </w:rPr>
            </w:pPr>
            <w:r>
              <w:rPr>
                <w:rFonts w:ascii="仿宋" w:hAnsi="仿宋"/>
                <w:sz w:val="24"/>
                <w:szCs w:val="24"/>
              </w:rPr>
              <w:t>472</w:t>
            </w:r>
          </w:p>
        </w:tc>
        <w:tc>
          <w:tcPr>
            <w:tcW w:w="2820" w:type="dxa"/>
            <w:shd w:val="clear" w:color="auto" w:fill="auto"/>
            <w:vAlign w:val="center"/>
          </w:tcPr>
          <w:p>
            <w:pPr>
              <w:spacing w:line="240" w:lineRule="auto"/>
              <w:jc w:val="center"/>
              <w:rPr>
                <w:rFonts w:ascii="仿宋" w:hAnsi="仿宋"/>
                <w:sz w:val="24"/>
                <w:szCs w:val="24"/>
              </w:rPr>
            </w:pPr>
            <w:r>
              <w:rPr>
                <w:rFonts w:ascii="仿宋" w:hAnsi="仿宋"/>
                <w:sz w:val="24"/>
                <w:szCs w:val="24"/>
              </w:rPr>
              <w:t>75</w:t>
            </w:r>
          </w:p>
        </w:tc>
      </w:tr>
    </w:tbl>
    <w:p>
      <w:pPr>
        <w:spacing w:beforeLines="50"/>
        <w:jc w:val="center"/>
        <w:rPr>
          <w:rFonts w:ascii="仿宋" w:hAnsi="仿宋" w:cs="宋体"/>
          <w:sz w:val="28"/>
          <w:szCs w:val="28"/>
        </w:rPr>
      </w:pPr>
      <w:r>
        <w:rPr>
          <w:rFonts w:hint="eastAsia" w:ascii="仿宋" w:hAnsi="仿宋" w:cs="宋体"/>
          <w:sz w:val="28"/>
          <w:szCs w:val="28"/>
        </w:rPr>
        <w:t>表2 在校生规模、毕业生规模情况</w:t>
      </w:r>
    </w:p>
    <w:tbl>
      <w:tblPr>
        <w:tblStyle w:val="12"/>
        <w:tblW w:w="8446" w:type="dxa"/>
        <w:jc w:val="center"/>
        <w:tblInd w:w="-6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2"/>
        <w:gridCol w:w="1543"/>
        <w:gridCol w:w="1594"/>
        <w:gridCol w:w="1590"/>
        <w:gridCol w:w="1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72" w:type="dxa"/>
            <w:vMerge w:val="restart"/>
            <w:shd w:val="clear" w:color="auto" w:fill="auto"/>
            <w:vAlign w:val="center"/>
          </w:tcPr>
          <w:p>
            <w:pPr>
              <w:spacing w:line="240" w:lineRule="auto"/>
              <w:jc w:val="center"/>
              <w:rPr>
                <w:rFonts w:ascii="仿宋" w:hAnsi="仿宋"/>
                <w:b/>
                <w:sz w:val="24"/>
                <w:szCs w:val="24"/>
              </w:rPr>
            </w:pPr>
            <w:r>
              <w:rPr>
                <w:rFonts w:hint="eastAsia" w:ascii="仿宋" w:hAnsi="仿宋"/>
                <w:b/>
                <w:sz w:val="24"/>
                <w:szCs w:val="24"/>
              </w:rPr>
              <w:t>年 度</w:t>
            </w:r>
          </w:p>
        </w:tc>
        <w:tc>
          <w:tcPr>
            <w:tcW w:w="1543" w:type="dxa"/>
            <w:vMerge w:val="restart"/>
            <w:shd w:val="clear" w:color="auto" w:fill="auto"/>
            <w:vAlign w:val="center"/>
          </w:tcPr>
          <w:p>
            <w:pPr>
              <w:spacing w:line="240" w:lineRule="auto"/>
              <w:jc w:val="center"/>
              <w:rPr>
                <w:rFonts w:ascii="仿宋" w:hAnsi="仿宋"/>
                <w:b/>
                <w:sz w:val="24"/>
                <w:szCs w:val="24"/>
              </w:rPr>
            </w:pPr>
            <w:r>
              <w:rPr>
                <w:rFonts w:hint="eastAsia" w:ascii="仿宋" w:hAnsi="仿宋"/>
                <w:b/>
                <w:sz w:val="24"/>
                <w:szCs w:val="24"/>
              </w:rPr>
              <w:t>在校生数</w:t>
            </w:r>
          </w:p>
        </w:tc>
        <w:tc>
          <w:tcPr>
            <w:tcW w:w="3184" w:type="dxa"/>
            <w:gridSpan w:val="2"/>
            <w:shd w:val="clear" w:color="auto" w:fill="auto"/>
            <w:vAlign w:val="center"/>
          </w:tcPr>
          <w:p>
            <w:pPr>
              <w:spacing w:line="240" w:lineRule="auto"/>
              <w:jc w:val="center"/>
              <w:rPr>
                <w:rFonts w:ascii="仿宋" w:hAnsi="仿宋"/>
                <w:b/>
                <w:sz w:val="24"/>
                <w:szCs w:val="24"/>
              </w:rPr>
            </w:pPr>
            <w:r>
              <w:rPr>
                <w:rFonts w:hint="eastAsia" w:ascii="仿宋" w:hAnsi="仿宋"/>
                <w:b/>
                <w:sz w:val="24"/>
                <w:szCs w:val="24"/>
              </w:rPr>
              <w:t>学生结构</w:t>
            </w:r>
          </w:p>
        </w:tc>
        <w:tc>
          <w:tcPr>
            <w:tcW w:w="1747" w:type="dxa"/>
            <w:vMerge w:val="restart"/>
            <w:shd w:val="clear" w:color="auto" w:fill="auto"/>
            <w:vAlign w:val="center"/>
          </w:tcPr>
          <w:p>
            <w:pPr>
              <w:spacing w:line="240" w:lineRule="auto"/>
              <w:jc w:val="center"/>
              <w:rPr>
                <w:b/>
                <w:sz w:val="24"/>
                <w:szCs w:val="24"/>
              </w:rPr>
            </w:pPr>
            <w:r>
              <w:rPr>
                <w:rFonts w:hint="eastAsia" w:ascii="仿宋" w:hAnsi="仿宋"/>
                <w:b/>
                <w:sz w:val="24"/>
                <w:szCs w:val="24"/>
              </w:rPr>
              <w:t>毕业生数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72" w:type="dxa"/>
            <w:vMerge w:val="continue"/>
            <w:shd w:val="clear" w:color="auto" w:fill="auto"/>
            <w:vAlign w:val="center"/>
          </w:tcPr>
          <w:p>
            <w:pPr>
              <w:jc w:val="center"/>
              <w:rPr>
                <w:rFonts w:ascii="仿宋" w:hAnsi="仿宋"/>
                <w:sz w:val="24"/>
                <w:szCs w:val="24"/>
              </w:rPr>
            </w:pPr>
          </w:p>
        </w:tc>
        <w:tc>
          <w:tcPr>
            <w:tcW w:w="1543" w:type="dxa"/>
            <w:vMerge w:val="continue"/>
            <w:shd w:val="clear" w:color="auto" w:fill="auto"/>
            <w:vAlign w:val="center"/>
          </w:tcPr>
          <w:p>
            <w:pPr>
              <w:jc w:val="center"/>
              <w:rPr>
                <w:rFonts w:ascii="仿宋" w:hAnsi="仿宋"/>
                <w:sz w:val="24"/>
                <w:szCs w:val="24"/>
              </w:rPr>
            </w:pPr>
          </w:p>
        </w:tc>
        <w:tc>
          <w:tcPr>
            <w:tcW w:w="1594" w:type="dxa"/>
            <w:shd w:val="clear" w:color="auto" w:fill="auto"/>
            <w:vAlign w:val="center"/>
          </w:tcPr>
          <w:p>
            <w:pPr>
              <w:spacing w:line="240" w:lineRule="auto"/>
              <w:jc w:val="center"/>
              <w:rPr>
                <w:rFonts w:ascii="仿宋" w:hAnsi="仿宋"/>
                <w:b/>
                <w:sz w:val="24"/>
                <w:szCs w:val="24"/>
              </w:rPr>
            </w:pPr>
            <w:r>
              <w:rPr>
                <w:rFonts w:hint="eastAsia" w:ascii="仿宋" w:hAnsi="仿宋"/>
                <w:b/>
                <w:sz w:val="24"/>
                <w:szCs w:val="24"/>
              </w:rPr>
              <w:t>中级工</w:t>
            </w:r>
          </w:p>
        </w:tc>
        <w:tc>
          <w:tcPr>
            <w:tcW w:w="1590" w:type="dxa"/>
            <w:shd w:val="clear" w:color="auto" w:fill="auto"/>
            <w:vAlign w:val="center"/>
          </w:tcPr>
          <w:p>
            <w:pPr>
              <w:spacing w:line="240" w:lineRule="auto"/>
              <w:jc w:val="center"/>
              <w:rPr>
                <w:rFonts w:ascii="仿宋" w:hAnsi="仿宋"/>
                <w:b/>
                <w:sz w:val="24"/>
                <w:szCs w:val="24"/>
              </w:rPr>
            </w:pPr>
            <w:r>
              <w:rPr>
                <w:rFonts w:hint="eastAsia" w:ascii="仿宋" w:hAnsi="仿宋"/>
                <w:b/>
                <w:sz w:val="24"/>
                <w:szCs w:val="24"/>
              </w:rPr>
              <w:t>高级工</w:t>
            </w:r>
          </w:p>
        </w:tc>
        <w:tc>
          <w:tcPr>
            <w:tcW w:w="1747" w:type="dxa"/>
            <w:vMerge w:val="continue"/>
            <w:shd w:val="clear" w:color="auto" w:fill="auto"/>
            <w:vAlign w:val="center"/>
          </w:tcPr>
          <w:p>
            <w:pPr>
              <w:jc w:val="center"/>
              <w:rPr>
                <w:rFonts w:ascii="仿宋" w:hAnsi="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72" w:type="dxa"/>
            <w:shd w:val="clear" w:color="auto" w:fill="auto"/>
            <w:vAlign w:val="center"/>
          </w:tcPr>
          <w:p>
            <w:pPr>
              <w:spacing w:line="240" w:lineRule="auto"/>
              <w:jc w:val="center"/>
              <w:rPr>
                <w:rFonts w:ascii="仿宋" w:hAnsi="仿宋"/>
                <w:sz w:val="24"/>
                <w:szCs w:val="24"/>
              </w:rPr>
            </w:pPr>
            <w:r>
              <w:rPr>
                <w:rFonts w:hint="eastAsia" w:ascii="仿宋" w:hAnsi="仿宋"/>
                <w:sz w:val="24"/>
                <w:szCs w:val="24"/>
              </w:rPr>
              <w:t>2017</w:t>
            </w:r>
          </w:p>
        </w:tc>
        <w:tc>
          <w:tcPr>
            <w:tcW w:w="1543" w:type="dxa"/>
            <w:shd w:val="clear" w:color="auto" w:fill="auto"/>
            <w:vAlign w:val="center"/>
          </w:tcPr>
          <w:p>
            <w:pPr>
              <w:spacing w:line="240" w:lineRule="auto"/>
              <w:jc w:val="center"/>
              <w:rPr>
                <w:rFonts w:ascii="仿宋" w:hAnsi="仿宋"/>
                <w:sz w:val="24"/>
                <w:szCs w:val="24"/>
              </w:rPr>
            </w:pPr>
            <w:r>
              <w:rPr>
                <w:rFonts w:hint="eastAsia" w:ascii="仿宋" w:hAnsi="仿宋"/>
                <w:sz w:val="24"/>
                <w:szCs w:val="24"/>
              </w:rPr>
              <w:t>2182</w:t>
            </w:r>
          </w:p>
        </w:tc>
        <w:tc>
          <w:tcPr>
            <w:tcW w:w="1594" w:type="dxa"/>
            <w:shd w:val="clear" w:color="auto" w:fill="auto"/>
            <w:vAlign w:val="center"/>
          </w:tcPr>
          <w:p>
            <w:pPr>
              <w:spacing w:line="240" w:lineRule="auto"/>
              <w:jc w:val="center"/>
              <w:rPr>
                <w:rFonts w:ascii="仿宋" w:hAnsi="仿宋"/>
                <w:sz w:val="24"/>
                <w:szCs w:val="24"/>
              </w:rPr>
            </w:pPr>
            <w:r>
              <w:rPr>
                <w:rFonts w:hint="eastAsia" w:ascii="仿宋" w:hAnsi="仿宋"/>
                <w:sz w:val="24"/>
                <w:szCs w:val="24"/>
              </w:rPr>
              <w:t>1581</w:t>
            </w:r>
          </w:p>
        </w:tc>
        <w:tc>
          <w:tcPr>
            <w:tcW w:w="1590" w:type="dxa"/>
            <w:shd w:val="clear" w:color="auto" w:fill="auto"/>
            <w:vAlign w:val="center"/>
          </w:tcPr>
          <w:p>
            <w:pPr>
              <w:spacing w:line="240" w:lineRule="auto"/>
              <w:jc w:val="center"/>
              <w:rPr>
                <w:rFonts w:ascii="仿宋" w:hAnsi="仿宋"/>
                <w:sz w:val="24"/>
                <w:szCs w:val="24"/>
              </w:rPr>
            </w:pPr>
            <w:r>
              <w:rPr>
                <w:rFonts w:hint="eastAsia" w:ascii="仿宋" w:hAnsi="仿宋"/>
                <w:sz w:val="24"/>
                <w:szCs w:val="24"/>
              </w:rPr>
              <w:t>601</w:t>
            </w:r>
          </w:p>
        </w:tc>
        <w:tc>
          <w:tcPr>
            <w:tcW w:w="1747" w:type="dxa"/>
            <w:shd w:val="clear" w:color="auto" w:fill="auto"/>
            <w:vAlign w:val="center"/>
          </w:tcPr>
          <w:p>
            <w:pPr>
              <w:spacing w:line="240" w:lineRule="auto"/>
              <w:jc w:val="center"/>
              <w:rPr>
                <w:rFonts w:ascii="仿宋" w:hAnsi="仿宋"/>
                <w:sz w:val="24"/>
                <w:szCs w:val="24"/>
              </w:rPr>
            </w:pPr>
            <w:r>
              <w:rPr>
                <w:rFonts w:hint="eastAsia" w:ascii="仿宋" w:hAnsi="仿宋"/>
                <w:sz w:val="24"/>
                <w:szCs w:val="24"/>
              </w:rPr>
              <w:t>1029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72" w:type="dxa"/>
            <w:shd w:val="clear" w:color="auto" w:fill="auto"/>
            <w:vAlign w:val="center"/>
          </w:tcPr>
          <w:p>
            <w:pPr>
              <w:spacing w:line="240" w:lineRule="auto"/>
              <w:jc w:val="center"/>
              <w:rPr>
                <w:rFonts w:ascii="仿宋" w:hAnsi="仿宋"/>
                <w:sz w:val="24"/>
                <w:szCs w:val="24"/>
              </w:rPr>
            </w:pPr>
            <w:r>
              <w:rPr>
                <w:rFonts w:hint="eastAsia" w:ascii="仿宋" w:hAnsi="仿宋"/>
                <w:sz w:val="24"/>
                <w:szCs w:val="24"/>
              </w:rPr>
              <w:t>201</w:t>
            </w:r>
            <w:r>
              <w:rPr>
                <w:rFonts w:ascii="仿宋" w:hAnsi="仿宋"/>
                <w:sz w:val="24"/>
                <w:szCs w:val="24"/>
              </w:rPr>
              <w:t>8</w:t>
            </w:r>
          </w:p>
        </w:tc>
        <w:tc>
          <w:tcPr>
            <w:tcW w:w="1543" w:type="dxa"/>
            <w:shd w:val="clear" w:color="auto" w:fill="auto"/>
            <w:vAlign w:val="center"/>
          </w:tcPr>
          <w:p>
            <w:pPr>
              <w:widowControl/>
              <w:spacing w:line="240" w:lineRule="auto"/>
              <w:jc w:val="center"/>
              <w:rPr>
                <w:rFonts w:ascii="仿宋" w:hAnsi="仿宋"/>
                <w:sz w:val="24"/>
                <w:szCs w:val="24"/>
              </w:rPr>
            </w:pPr>
            <w:r>
              <w:rPr>
                <w:rFonts w:hint="eastAsia" w:ascii="仿宋" w:hAnsi="仿宋"/>
                <w:sz w:val="24"/>
                <w:szCs w:val="24"/>
                <w:lang w:val="en-US" w:eastAsia="zh-CN"/>
              </w:rPr>
              <w:t>20</w:t>
            </w:r>
            <w:r>
              <w:rPr>
                <w:rFonts w:ascii="仿宋" w:hAnsi="仿宋"/>
                <w:sz w:val="24"/>
                <w:szCs w:val="24"/>
              </w:rPr>
              <w:t>56</w:t>
            </w:r>
          </w:p>
        </w:tc>
        <w:tc>
          <w:tcPr>
            <w:tcW w:w="1594" w:type="dxa"/>
            <w:shd w:val="clear" w:color="auto" w:fill="auto"/>
            <w:vAlign w:val="center"/>
          </w:tcPr>
          <w:p>
            <w:pPr>
              <w:widowControl/>
              <w:spacing w:line="240" w:lineRule="auto"/>
              <w:jc w:val="center"/>
              <w:rPr>
                <w:rFonts w:hint="eastAsia" w:ascii="仿宋" w:hAnsi="仿宋" w:eastAsia="仿宋"/>
                <w:sz w:val="24"/>
                <w:szCs w:val="24"/>
                <w:lang w:val="en-US" w:eastAsia="zh-CN"/>
              </w:rPr>
            </w:pPr>
            <w:r>
              <w:rPr>
                <w:rFonts w:ascii="仿宋" w:hAnsi="仿宋"/>
                <w:sz w:val="24"/>
                <w:szCs w:val="24"/>
              </w:rPr>
              <w:t>1</w:t>
            </w:r>
            <w:r>
              <w:rPr>
                <w:rFonts w:hint="eastAsia" w:ascii="仿宋" w:hAnsi="仿宋"/>
                <w:sz w:val="24"/>
                <w:szCs w:val="24"/>
                <w:lang w:val="en-US" w:eastAsia="zh-CN"/>
              </w:rPr>
              <w:t>770</w:t>
            </w:r>
          </w:p>
        </w:tc>
        <w:tc>
          <w:tcPr>
            <w:tcW w:w="1590" w:type="dxa"/>
            <w:shd w:val="clear" w:color="auto" w:fill="auto"/>
            <w:vAlign w:val="center"/>
          </w:tcPr>
          <w:p>
            <w:pPr>
              <w:widowControl/>
              <w:spacing w:line="240" w:lineRule="auto"/>
              <w:jc w:val="center"/>
              <w:rPr>
                <w:rFonts w:hint="eastAsia" w:ascii="仿宋" w:hAnsi="仿宋" w:eastAsia="仿宋"/>
                <w:sz w:val="24"/>
                <w:szCs w:val="24"/>
                <w:lang w:val="en-US" w:eastAsia="zh-CN"/>
              </w:rPr>
            </w:pPr>
            <w:r>
              <w:rPr>
                <w:rFonts w:ascii="仿宋" w:hAnsi="仿宋"/>
                <w:sz w:val="24"/>
                <w:szCs w:val="24"/>
              </w:rPr>
              <w:t>2</w:t>
            </w:r>
            <w:r>
              <w:rPr>
                <w:rFonts w:hint="eastAsia" w:ascii="仿宋" w:hAnsi="仿宋"/>
                <w:sz w:val="24"/>
                <w:szCs w:val="24"/>
                <w:lang w:val="en-US" w:eastAsia="zh-CN"/>
              </w:rPr>
              <w:t>86</w:t>
            </w:r>
          </w:p>
        </w:tc>
        <w:tc>
          <w:tcPr>
            <w:tcW w:w="1747" w:type="dxa"/>
            <w:shd w:val="clear" w:color="auto" w:fill="auto"/>
            <w:vAlign w:val="center"/>
          </w:tcPr>
          <w:p>
            <w:pPr>
              <w:widowControl/>
              <w:spacing w:line="240" w:lineRule="auto"/>
              <w:jc w:val="center"/>
              <w:rPr>
                <w:rFonts w:ascii="仿宋" w:hAnsi="仿宋"/>
                <w:sz w:val="24"/>
                <w:szCs w:val="24"/>
              </w:rPr>
            </w:pPr>
            <w:r>
              <w:rPr>
                <w:rFonts w:ascii="仿宋" w:hAnsi="仿宋"/>
                <w:sz w:val="24"/>
                <w:szCs w:val="24"/>
              </w:rPr>
              <w:t>714</w:t>
            </w:r>
          </w:p>
        </w:tc>
      </w:tr>
    </w:tbl>
    <w:p>
      <w:pPr>
        <w:rPr>
          <w:rFonts w:hint="eastAsia" w:ascii="仿宋" w:hAnsi="仿宋" w:cs="宋体"/>
          <w:b/>
          <w:szCs w:val="32"/>
        </w:rPr>
      </w:pPr>
    </w:p>
    <w:p>
      <w:pPr>
        <w:rPr>
          <w:rFonts w:ascii="仿宋" w:hAnsi="仿宋" w:cs="宋体"/>
          <w:b/>
          <w:szCs w:val="32"/>
        </w:rPr>
      </w:pPr>
      <w:r>
        <w:rPr>
          <w:rFonts w:hint="eastAsia" w:ascii="仿宋" w:hAnsi="仿宋" w:cs="宋体"/>
          <w:b/>
          <w:szCs w:val="32"/>
        </w:rPr>
        <w:t>1.3教师队伍</w:t>
      </w:r>
    </w:p>
    <w:p>
      <w:pPr>
        <w:ind w:firstLine="640"/>
        <w:rPr>
          <w:rFonts w:ascii="仿宋" w:hAnsi="仿宋" w:cs="仿宋"/>
        </w:rPr>
      </w:pPr>
      <w:r>
        <w:rPr>
          <w:rFonts w:hint="eastAsia" w:ascii="仿宋" w:hAnsi="仿宋" w:cs="仿宋"/>
        </w:rPr>
        <w:t>学院高度重视师资队伍建设工作，打造了一支学历结构合理，教学能力突出，技能大师领衔的教练型、专家型师资团队。拥有人力资源和社会保障部技工教育领域专家1人；省级职业教育专家4人；省级骨干学科带头人4人；6名教师获得全国一类职业技能竞赛冠军，3名教师获得全国一类职业技能竞赛亚军；享受国务院特殊津贴者1人；享受沈阳市政府特殊津贴者1人。</w:t>
      </w:r>
    </w:p>
    <w:p>
      <w:pPr>
        <w:ind w:firstLine="640"/>
        <w:rPr>
          <w:rFonts w:ascii="仿宋" w:hAnsi="仿宋" w:cs="宋体"/>
          <w:sz w:val="28"/>
          <w:szCs w:val="28"/>
        </w:rPr>
      </w:pPr>
      <w:r>
        <w:rPr>
          <w:rFonts w:hint="eastAsia" w:ascii="仿宋" w:hAnsi="仿宋" w:cs="仿宋"/>
        </w:rPr>
        <w:t>学院通过引进、培训、继续教育等多种形式加强教师队伍建设。制订了教师队伍建设规划和激励政策，鼓励教师更新知识、提升学历。现有专任教师145人，其中“双师型”教师117人</w:t>
      </w:r>
      <w:r>
        <w:rPr>
          <w:rFonts w:hint="eastAsia" w:ascii="仿宋" w:hAnsi="仿宋" w:cs="仿宋"/>
          <w:lang w:eastAsia="zh-CN"/>
        </w:rPr>
        <w:t>，</w:t>
      </w:r>
      <w:r>
        <w:rPr>
          <w:rFonts w:hint="eastAsia" w:ascii="仿宋" w:hAnsi="仿宋" w:cs="仿宋"/>
        </w:rPr>
        <w:t>兼职教师25人</w:t>
      </w:r>
      <w:r>
        <w:rPr>
          <w:rFonts w:hint="eastAsia" w:ascii="仿宋" w:hAnsi="仿宋" w:cs="仿宋"/>
          <w:lang w:eastAsia="zh-CN"/>
        </w:rPr>
        <w:t>，</w:t>
      </w:r>
      <w:r>
        <w:rPr>
          <w:rFonts w:hint="eastAsia" w:ascii="仿宋" w:hAnsi="仿宋" w:cs="仿宋"/>
        </w:rPr>
        <w:t>生师比14:1。专任教师中专业教师106人，本科以上学历141人，硕士以上学历35人，具有高级职称的教师67人。</w:t>
      </w:r>
    </w:p>
    <w:p>
      <w:pPr>
        <w:spacing w:beforeLines="50"/>
        <w:jc w:val="center"/>
        <w:rPr>
          <w:rFonts w:ascii="仿宋" w:hAnsi="仿宋" w:cs="宋体"/>
          <w:szCs w:val="32"/>
        </w:rPr>
      </w:pPr>
      <w:r>
        <w:rPr>
          <w:rFonts w:hint="eastAsia" w:ascii="仿宋" w:hAnsi="仿宋" w:cs="宋体"/>
          <w:sz w:val="28"/>
          <w:szCs w:val="28"/>
        </w:rPr>
        <w:t>表</w:t>
      </w:r>
      <w:r>
        <w:rPr>
          <w:rFonts w:hint="eastAsia" w:ascii="仿宋" w:hAnsi="仿宋" w:cs="宋体"/>
          <w:sz w:val="28"/>
          <w:szCs w:val="28"/>
          <w:lang w:val="en-US" w:eastAsia="zh-CN"/>
        </w:rPr>
        <w:t>3</w:t>
      </w:r>
      <w:r>
        <w:rPr>
          <w:rFonts w:hint="eastAsia" w:ascii="仿宋" w:hAnsi="仿宋" w:cs="宋体"/>
          <w:sz w:val="28"/>
          <w:szCs w:val="28"/>
        </w:rPr>
        <w:t xml:space="preserve"> 教师结构、学历、职称占比情况（%）</w:t>
      </w:r>
    </w:p>
    <w:tbl>
      <w:tblPr>
        <w:tblStyle w:val="12"/>
        <w:tblW w:w="8593" w:type="dxa"/>
        <w:jc w:val="center"/>
        <w:tblInd w:w="-6" w:type="dxa"/>
        <w:tblLayout w:type="fixed"/>
        <w:tblCellMar>
          <w:top w:w="15" w:type="dxa"/>
          <w:left w:w="15" w:type="dxa"/>
          <w:bottom w:w="15" w:type="dxa"/>
          <w:right w:w="15" w:type="dxa"/>
        </w:tblCellMar>
      </w:tblPr>
      <w:tblGrid>
        <w:gridCol w:w="1242"/>
        <w:gridCol w:w="1262"/>
        <w:gridCol w:w="1455"/>
        <w:gridCol w:w="1567"/>
        <w:gridCol w:w="1545"/>
        <w:gridCol w:w="1522"/>
      </w:tblGrid>
      <w:tr>
        <w:tblPrEx>
          <w:tblLayout w:type="fixed"/>
          <w:tblCellMar>
            <w:top w:w="15" w:type="dxa"/>
            <w:left w:w="15" w:type="dxa"/>
            <w:bottom w:w="15" w:type="dxa"/>
            <w:right w:w="15" w:type="dxa"/>
          </w:tblCellMar>
        </w:tblPrEx>
        <w:trPr>
          <w:trHeight w:val="980"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textAlignment w:val="center"/>
              <w:rPr>
                <w:rFonts w:ascii="仿宋" w:hAnsi="仿宋" w:cs="仿宋"/>
                <w:b/>
                <w:color w:val="000000"/>
                <w:sz w:val="24"/>
                <w:szCs w:val="24"/>
              </w:rPr>
            </w:pPr>
            <w:r>
              <w:rPr>
                <w:rFonts w:hint="eastAsia" w:ascii="仿宋" w:hAnsi="仿宋" w:cs="仿宋"/>
                <w:b/>
                <w:color w:val="000000"/>
                <w:kern w:val="0"/>
                <w:sz w:val="24"/>
                <w:szCs w:val="24"/>
              </w:rPr>
              <w:t>年  度</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textAlignment w:val="center"/>
              <w:rPr>
                <w:rFonts w:ascii="仿宋" w:hAnsi="仿宋" w:cs="仿宋"/>
                <w:b/>
                <w:color w:val="000000"/>
                <w:sz w:val="24"/>
                <w:szCs w:val="24"/>
              </w:rPr>
            </w:pPr>
            <w:r>
              <w:rPr>
                <w:rFonts w:hint="eastAsia" w:ascii="仿宋" w:hAnsi="仿宋" w:cs="仿宋"/>
                <w:b/>
                <w:color w:val="000000"/>
                <w:sz w:val="24"/>
                <w:szCs w:val="24"/>
              </w:rPr>
              <w:t>双师型</w:t>
            </w:r>
          </w:p>
          <w:p>
            <w:pPr>
              <w:widowControl/>
              <w:adjustRightInd w:val="0"/>
              <w:snapToGrid w:val="0"/>
              <w:spacing w:line="240" w:lineRule="auto"/>
              <w:jc w:val="center"/>
              <w:textAlignment w:val="center"/>
              <w:rPr>
                <w:rFonts w:ascii="仿宋" w:hAnsi="仿宋" w:cs="仿宋"/>
                <w:b/>
                <w:color w:val="000000"/>
                <w:sz w:val="24"/>
                <w:szCs w:val="24"/>
              </w:rPr>
            </w:pPr>
            <w:r>
              <w:rPr>
                <w:rFonts w:hint="eastAsia" w:ascii="仿宋" w:hAnsi="仿宋" w:cs="仿宋"/>
                <w:b/>
                <w:color w:val="000000"/>
                <w:sz w:val="24"/>
                <w:szCs w:val="24"/>
              </w:rPr>
              <w:t>教师占比</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textAlignment w:val="center"/>
              <w:rPr>
                <w:rFonts w:ascii="仿宋" w:hAnsi="仿宋" w:cs="仿宋"/>
                <w:b/>
                <w:color w:val="000000"/>
                <w:kern w:val="0"/>
                <w:sz w:val="24"/>
                <w:szCs w:val="24"/>
              </w:rPr>
            </w:pPr>
            <w:r>
              <w:rPr>
                <w:rFonts w:hint="eastAsia" w:ascii="仿宋" w:hAnsi="仿宋" w:cs="仿宋"/>
                <w:b/>
                <w:color w:val="000000"/>
                <w:sz w:val="24"/>
                <w:szCs w:val="24"/>
              </w:rPr>
              <w:t>兼职</w:t>
            </w:r>
            <w:r>
              <w:rPr>
                <w:rFonts w:hint="eastAsia" w:ascii="仿宋" w:hAnsi="仿宋" w:cs="仿宋"/>
                <w:b/>
                <w:color w:val="000000"/>
                <w:kern w:val="0"/>
                <w:sz w:val="24"/>
                <w:szCs w:val="24"/>
              </w:rPr>
              <w:t>教</w:t>
            </w:r>
          </w:p>
          <w:p>
            <w:pPr>
              <w:widowControl/>
              <w:adjustRightInd w:val="0"/>
              <w:snapToGrid w:val="0"/>
              <w:spacing w:line="240" w:lineRule="auto"/>
              <w:jc w:val="center"/>
              <w:textAlignment w:val="center"/>
              <w:rPr>
                <w:rFonts w:ascii="仿宋" w:hAnsi="仿宋" w:cs="仿宋"/>
                <w:b/>
                <w:color w:val="000000"/>
                <w:kern w:val="0"/>
                <w:sz w:val="24"/>
                <w:szCs w:val="24"/>
              </w:rPr>
            </w:pPr>
            <w:r>
              <w:rPr>
                <w:rFonts w:hint="eastAsia" w:ascii="仿宋" w:hAnsi="仿宋" w:cs="仿宋"/>
                <w:b/>
                <w:color w:val="000000"/>
                <w:kern w:val="0"/>
                <w:sz w:val="24"/>
                <w:szCs w:val="24"/>
              </w:rPr>
              <w:t>师占比</w:t>
            </w:r>
          </w:p>
        </w:tc>
        <w:tc>
          <w:tcPr>
            <w:tcW w:w="156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textAlignment w:val="center"/>
              <w:rPr>
                <w:rFonts w:ascii="仿宋" w:hAnsi="仿宋" w:cs="仿宋"/>
                <w:b/>
                <w:color w:val="000000"/>
                <w:kern w:val="0"/>
                <w:sz w:val="24"/>
                <w:szCs w:val="24"/>
              </w:rPr>
            </w:pPr>
            <w:r>
              <w:rPr>
                <w:rFonts w:hint="eastAsia" w:ascii="仿宋" w:hAnsi="仿宋" w:cs="仿宋"/>
                <w:b/>
                <w:color w:val="000000"/>
                <w:kern w:val="0"/>
                <w:sz w:val="24"/>
                <w:szCs w:val="24"/>
              </w:rPr>
              <w:t>本科</w:t>
            </w:r>
            <w:r>
              <w:rPr>
                <w:rFonts w:hint="eastAsia" w:ascii="仿宋" w:hAnsi="仿宋" w:cs="仿宋"/>
                <w:b/>
                <w:color w:val="000000"/>
                <w:sz w:val="24"/>
                <w:szCs w:val="24"/>
              </w:rPr>
              <w:t>以上</w:t>
            </w:r>
          </w:p>
          <w:p>
            <w:pPr>
              <w:widowControl/>
              <w:adjustRightInd w:val="0"/>
              <w:snapToGrid w:val="0"/>
              <w:spacing w:line="240" w:lineRule="auto"/>
              <w:jc w:val="center"/>
              <w:textAlignment w:val="center"/>
              <w:rPr>
                <w:rFonts w:ascii="仿宋" w:hAnsi="仿宋" w:cs="仿宋"/>
                <w:b/>
                <w:color w:val="000000"/>
                <w:kern w:val="0"/>
                <w:sz w:val="24"/>
                <w:szCs w:val="24"/>
              </w:rPr>
            </w:pPr>
            <w:r>
              <w:rPr>
                <w:rFonts w:hint="eastAsia" w:ascii="仿宋" w:hAnsi="仿宋" w:cs="仿宋"/>
                <w:b/>
                <w:color w:val="000000"/>
                <w:kern w:val="0"/>
                <w:sz w:val="24"/>
                <w:szCs w:val="24"/>
              </w:rPr>
              <w:t>学历占比</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textAlignment w:val="center"/>
              <w:rPr>
                <w:rFonts w:ascii="仿宋" w:hAnsi="仿宋" w:cs="仿宋"/>
                <w:b/>
                <w:color w:val="000000"/>
                <w:kern w:val="0"/>
                <w:sz w:val="24"/>
                <w:szCs w:val="24"/>
              </w:rPr>
            </w:pPr>
            <w:r>
              <w:rPr>
                <w:rFonts w:hint="eastAsia" w:ascii="仿宋" w:hAnsi="仿宋" w:cs="仿宋"/>
                <w:b/>
                <w:color w:val="000000"/>
                <w:sz w:val="24"/>
                <w:szCs w:val="24"/>
              </w:rPr>
              <w:t>硕士</w:t>
            </w:r>
            <w:r>
              <w:rPr>
                <w:rFonts w:hint="eastAsia" w:ascii="仿宋" w:hAnsi="仿宋" w:cs="仿宋"/>
                <w:b/>
                <w:color w:val="000000"/>
                <w:kern w:val="0"/>
                <w:sz w:val="24"/>
                <w:szCs w:val="24"/>
              </w:rPr>
              <w:t>以上</w:t>
            </w:r>
          </w:p>
          <w:p>
            <w:pPr>
              <w:widowControl/>
              <w:adjustRightInd w:val="0"/>
              <w:snapToGrid w:val="0"/>
              <w:spacing w:line="240" w:lineRule="auto"/>
              <w:jc w:val="center"/>
              <w:textAlignment w:val="center"/>
              <w:rPr>
                <w:rFonts w:ascii="仿宋" w:hAnsi="仿宋" w:cs="仿宋"/>
                <w:b/>
                <w:color w:val="000000"/>
                <w:sz w:val="24"/>
                <w:szCs w:val="24"/>
              </w:rPr>
            </w:pPr>
            <w:r>
              <w:rPr>
                <w:rFonts w:hint="eastAsia" w:ascii="仿宋" w:hAnsi="仿宋" w:cs="仿宋"/>
                <w:b/>
                <w:color w:val="000000"/>
                <w:sz w:val="24"/>
                <w:szCs w:val="24"/>
              </w:rPr>
              <w:t>学历</w:t>
            </w:r>
            <w:r>
              <w:rPr>
                <w:rFonts w:hint="eastAsia" w:ascii="仿宋" w:hAnsi="仿宋" w:cs="仿宋"/>
                <w:b/>
                <w:color w:val="000000"/>
                <w:kern w:val="0"/>
                <w:sz w:val="24"/>
                <w:szCs w:val="24"/>
              </w:rPr>
              <w:t>占比</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textAlignment w:val="center"/>
              <w:rPr>
                <w:rFonts w:ascii="仿宋" w:hAnsi="仿宋" w:cs="仿宋"/>
                <w:b/>
                <w:color w:val="000000"/>
                <w:kern w:val="0"/>
                <w:sz w:val="24"/>
                <w:szCs w:val="24"/>
              </w:rPr>
            </w:pPr>
            <w:r>
              <w:rPr>
                <w:rFonts w:hint="eastAsia" w:ascii="仿宋" w:hAnsi="仿宋" w:cs="仿宋"/>
                <w:b/>
                <w:color w:val="000000"/>
                <w:kern w:val="0"/>
                <w:sz w:val="24"/>
                <w:szCs w:val="24"/>
              </w:rPr>
              <w:t>高级</w:t>
            </w:r>
            <w:r>
              <w:rPr>
                <w:rFonts w:hint="eastAsia" w:ascii="仿宋" w:hAnsi="仿宋" w:cs="仿宋"/>
                <w:b/>
                <w:color w:val="000000"/>
                <w:sz w:val="24"/>
                <w:szCs w:val="24"/>
              </w:rPr>
              <w:t>职称</w:t>
            </w:r>
          </w:p>
          <w:p>
            <w:pPr>
              <w:widowControl/>
              <w:adjustRightInd w:val="0"/>
              <w:snapToGrid w:val="0"/>
              <w:spacing w:line="240" w:lineRule="auto"/>
              <w:jc w:val="center"/>
              <w:textAlignment w:val="center"/>
              <w:rPr>
                <w:rFonts w:ascii="仿宋" w:hAnsi="仿宋" w:cs="仿宋"/>
                <w:b/>
                <w:color w:val="000000"/>
                <w:sz w:val="24"/>
                <w:szCs w:val="24"/>
              </w:rPr>
            </w:pPr>
            <w:r>
              <w:rPr>
                <w:rFonts w:hint="eastAsia" w:ascii="仿宋" w:hAnsi="仿宋" w:cs="仿宋"/>
                <w:b/>
                <w:color w:val="000000"/>
                <w:kern w:val="0"/>
                <w:sz w:val="24"/>
                <w:szCs w:val="24"/>
              </w:rPr>
              <w:t>教师占比</w:t>
            </w:r>
          </w:p>
        </w:tc>
      </w:tr>
      <w:tr>
        <w:tblPrEx>
          <w:tblLayout w:type="fixed"/>
          <w:tblCellMar>
            <w:top w:w="15" w:type="dxa"/>
            <w:left w:w="15" w:type="dxa"/>
            <w:bottom w:w="15" w:type="dxa"/>
            <w:right w:w="15" w:type="dxa"/>
          </w:tblCellMar>
        </w:tblPrEx>
        <w:trPr>
          <w:trHeight w:val="343"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kern w:val="0"/>
                <w:sz w:val="24"/>
                <w:szCs w:val="24"/>
              </w:rPr>
            </w:pPr>
            <w:r>
              <w:rPr>
                <w:rFonts w:hint="eastAsia" w:ascii="仿宋" w:hAnsi="仿宋" w:cs="仿宋"/>
                <w:color w:val="000000"/>
                <w:kern w:val="0"/>
                <w:sz w:val="24"/>
                <w:szCs w:val="24"/>
              </w:rPr>
              <w:t>2017</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kern w:val="0"/>
                <w:sz w:val="24"/>
                <w:szCs w:val="24"/>
              </w:rPr>
            </w:pPr>
            <w:r>
              <w:rPr>
                <w:rFonts w:hint="eastAsia" w:ascii="仿宋" w:hAnsi="仿宋" w:cs="仿宋"/>
                <w:color w:val="000000"/>
                <w:kern w:val="0"/>
                <w:sz w:val="24"/>
                <w:szCs w:val="24"/>
              </w:rPr>
              <w:t>81</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kern w:val="0"/>
                <w:sz w:val="24"/>
                <w:szCs w:val="24"/>
              </w:rPr>
            </w:pPr>
            <w:r>
              <w:rPr>
                <w:rFonts w:hint="eastAsia" w:ascii="仿宋" w:hAnsi="仿宋" w:cs="仿宋"/>
                <w:color w:val="000000"/>
                <w:kern w:val="0"/>
                <w:sz w:val="24"/>
                <w:szCs w:val="24"/>
              </w:rPr>
              <w:t>17</w:t>
            </w:r>
          </w:p>
        </w:tc>
        <w:tc>
          <w:tcPr>
            <w:tcW w:w="1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kern w:val="0"/>
                <w:sz w:val="24"/>
                <w:szCs w:val="24"/>
              </w:rPr>
            </w:pPr>
            <w:r>
              <w:rPr>
                <w:rFonts w:hint="eastAsia" w:ascii="仿宋" w:hAnsi="仿宋" w:cs="仿宋"/>
                <w:color w:val="000000"/>
                <w:kern w:val="0"/>
                <w:sz w:val="24"/>
                <w:szCs w:val="24"/>
              </w:rPr>
              <w:t>92</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kern w:val="0"/>
                <w:sz w:val="24"/>
                <w:szCs w:val="24"/>
              </w:rPr>
            </w:pPr>
            <w:r>
              <w:rPr>
                <w:rFonts w:hint="eastAsia" w:ascii="仿宋" w:hAnsi="仿宋" w:cs="仿宋"/>
                <w:color w:val="000000"/>
                <w:kern w:val="0"/>
                <w:sz w:val="24"/>
                <w:szCs w:val="24"/>
              </w:rPr>
              <w:t>22</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kern w:val="0"/>
                <w:sz w:val="24"/>
                <w:szCs w:val="24"/>
              </w:rPr>
            </w:pPr>
            <w:r>
              <w:rPr>
                <w:rFonts w:hint="eastAsia" w:ascii="仿宋" w:hAnsi="仿宋" w:cs="仿宋"/>
                <w:color w:val="000000"/>
                <w:kern w:val="0"/>
                <w:sz w:val="24"/>
                <w:szCs w:val="24"/>
              </w:rPr>
              <w:t>47</w:t>
            </w:r>
          </w:p>
        </w:tc>
      </w:tr>
      <w:tr>
        <w:tblPrEx>
          <w:tblLayout w:type="fixed"/>
          <w:tblCellMar>
            <w:top w:w="15" w:type="dxa"/>
            <w:left w:w="15" w:type="dxa"/>
            <w:bottom w:w="15" w:type="dxa"/>
            <w:right w:w="15" w:type="dxa"/>
          </w:tblCellMar>
        </w:tblPrEx>
        <w:trPr>
          <w:trHeight w:val="343"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kern w:val="0"/>
                <w:sz w:val="24"/>
                <w:szCs w:val="24"/>
              </w:rPr>
            </w:pPr>
            <w:r>
              <w:rPr>
                <w:rFonts w:hint="eastAsia" w:ascii="仿宋" w:hAnsi="仿宋" w:cs="仿宋"/>
                <w:color w:val="000000"/>
                <w:kern w:val="0"/>
                <w:sz w:val="24"/>
                <w:szCs w:val="24"/>
              </w:rPr>
              <w:t>2018</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kern w:val="0"/>
                <w:sz w:val="24"/>
                <w:szCs w:val="24"/>
              </w:rPr>
            </w:pPr>
            <w:r>
              <w:rPr>
                <w:rFonts w:hint="eastAsia" w:ascii="仿宋" w:hAnsi="仿宋" w:cs="仿宋"/>
                <w:color w:val="000000"/>
                <w:kern w:val="0"/>
                <w:sz w:val="24"/>
                <w:szCs w:val="24"/>
              </w:rPr>
              <w:t>81</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kern w:val="0"/>
                <w:sz w:val="24"/>
                <w:szCs w:val="24"/>
              </w:rPr>
            </w:pPr>
            <w:r>
              <w:rPr>
                <w:rFonts w:hint="eastAsia" w:ascii="仿宋" w:hAnsi="仿宋" w:cs="仿宋"/>
                <w:color w:val="000000"/>
                <w:kern w:val="0"/>
                <w:sz w:val="24"/>
                <w:szCs w:val="24"/>
              </w:rPr>
              <w:t>17</w:t>
            </w:r>
          </w:p>
        </w:tc>
        <w:tc>
          <w:tcPr>
            <w:tcW w:w="1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kern w:val="0"/>
                <w:sz w:val="24"/>
                <w:szCs w:val="24"/>
              </w:rPr>
            </w:pPr>
            <w:r>
              <w:rPr>
                <w:rFonts w:hint="eastAsia" w:ascii="仿宋" w:hAnsi="仿宋" w:cs="仿宋"/>
                <w:color w:val="000000"/>
                <w:kern w:val="0"/>
                <w:sz w:val="24"/>
                <w:szCs w:val="24"/>
              </w:rPr>
              <w:t>97</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kern w:val="0"/>
                <w:sz w:val="24"/>
                <w:szCs w:val="24"/>
              </w:rPr>
            </w:pPr>
            <w:r>
              <w:rPr>
                <w:rFonts w:hint="eastAsia" w:ascii="仿宋" w:hAnsi="仿宋" w:cs="仿宋"/>
                <w:color w:val="000000"/>
                <w:kern w:val="0"/>
                <w:sz w:val="24"/>
                <w:szCs w:val="24"/>
              </w:rPr>
              <w:t>24</w:t>
            </w:r>
          </w:p>
        </w:tc>
        <w:tc>
          <w:tcPr>
            <w:tcW w:w="15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kern w:val="0"/>
                <w:sz w:val="24"/>
                <w:szCs w:val="24"/>
              </w:rPr>
            </w:pPr>
            <w:r>
              <w:rPr>
                <w:rFonts w:hint="eastAsia" w:ascii="仿宋" w:hAnsi="仿宋" w:cs="仿宋"/>
                <w:color w:val="000000"/>
                <w:kern w:val="0"/>
                <w:sz w:val="24"/>
                <w:szCs w:val="24"/>
              </w:rPr>
              <w:t>46</w:t>
            </w:r>
          </w:p>
        </w:tc>
      </w:tr>
    </w:tbl>
    <w:p>
      <w:pPr>
        <w:ind w:firstLine="640"/>
        <w:rPr>
          <w:rFonts w:ascii="仿宋" w:hAnsi="仿宋" w:cs="仿宋"/>
        </w:rPr>
      </w:pPr>
      <w:r>
        <w:rPr>
          <w:rFonts w:hint="eastAsia" w:ascii="仿宋" w:hAnsi="仿宋" w:cs="仿宋"/>
        </w:rPr>
        <w:t>学院重视教师队伍建</w:t>
      </w:r>
      <w:r>
        <w:rPr>
          <w:rFonts w:hint="eastAsia" w:ascii="仿宋" w:hAnsi="仿宋" w:cs="仿宋"/>
          <w:highlight w:val="none"/>
        </w:rPr>
        <w:t>设，通过岗前培训和在岗培训</w:t>
      </w:r>
      <w:r>
        <w:rPr>
          <w:rFonts w:hint="eastAsia" w:ascii="仿宋" w:hAnsi="仿宋" w:cs="仿宋"/>
          <w:highlight w:val="none"/>
          <w:lang w:eastAsia="zh-CN"/>
        </w:rPr>
        <w:t>，</w:t>
      </w:r>
      <w:r>
        <w:rPr>
          <w:rFonts w:hint="eastAsia" w:ascii="仿宋" w:hAnsi="仿宋" w:cs="仿宋"/>
          <w:highlight w:val="none"/>
        </w:rPr>
        <w:t>以及深入开展优质课、微课、教学课题、班主任基本功等教学能力竞赛来提高新教师的职业素质和教学能力。学院与华晨汽车工程研究院签订战略合作协议，将研究院作</w:t>
      </w:r>
      <w:r>
        <w:rPr>
          <w:rFonts w:hint="eastAsia" w:ascii="仿宋" w:hAnsi="仿宋" w:cs="仿宋"/>
        </w:rPr>
        <w:t>为学院的教科研训实践基地。全年组织业务培训 35次，外出培训68人。教师发表论文55篇，主编参编教材12本，申报专利2个。2名教师在辽宁省职业院校信息化教学比赛中荣获一等奖、三等奖。</w:t>
      </w:r>
      <w:r>
        <w:rPr>
          <w:rFonts w:hint="eastAsia" w:cs="仿宋"/>
        </w:rPr>
        <w:t>我院选派</w:t>
      </w:r>
      <w:r>
        <w:rPr>
          <w:rFonts w:hint="eastAsia" w:cs="仿宋"/>
          <w:lang w:val="en-US" w:eastAsia="zh-CN"/>
        </w:rPr>
        <w:t>2</w:t>
      </w:r>
      <w:r>
        <w:rPr>
          <w:rFonts w:hint="eastAsia" w:cs="仿宋"/>
        </w:rPr>
        <w:t>名汽车专业骨干教师赴渭南，对丰田教学模式、理实一体化教学、实训现场管理、教学管理等方面进行指导。</w:t>
      </w:r>
    </w:p>
    <w:p>
      <w:pPr>
        <w:ind w:firstLine="640"/>
        <w:rPr>
          <w:rFonts w:ascii="仿宋" w:hAnsi="仿宋" w:cs="仿宋"/>
        </w:rPr>
      </w:pPr>
      <w:r>
        <w:rPr>
          <w:rFonts w:hint="eastAsia" w:ascii="仿宋" w:hAnsi="仿宋" w:cs="仿宋"/>
        </w:rPr>
        <w:t>目前学院的教师队伍结构合理，人员稳定，综合素质高。专业课教师大多数都是经验丰富的骨干教师，实习指导教师都具有高级技师职业资格</w:t>
      </w:r>
      <w:r>
        <w:rPr>
          <w:rFonts w:hint="eastAsia" w:ascii="仿宋" w:hAnsi="仿宋" w:cs="仿宋"/>
          <w:lang w:eastAsia="zh-CN"/>
        </w:rPr>
        <w:t>，</w:t>
      </w:r>
      <w:r>
        <w:rPr>
          <w:rFonts w:hint="eastAsia" w:ascii="仿宋" w:hAnsi="仿宋" w:cs="仿宋"/>
        </w:rPr>
        <w:t>企业兼职教师都是有丰富实践经验和较高技能的具有高级职称和职业资格的工程技术人员和能工巧匠</w:t>
      </w:r>
      <w:r>
        <w:rPr>
          <w:rFonts w:hint="eastAsia" w:ascii="仿宋" w:hAnsi="仿宋" w:cs="仿宋"/>
          <w:lang w:eastAsia="zh-CN"/>
        </w:rPr>
        <w:t>，</w:t>
      </w:r>
      <w:r>
        <w:rPr>
          <w:rFonts w:hint="eastAsia" w:ascii="仿宋" w:hAnsi="仿宋" w:cs="仿宋"/>
        </w:rPr>
        <w:t>能较好地完成学院的教学和对企业及社会开展的各类培训工作。</w:t>
      </w:r>
    </w:p>
    <w:p>
      <w:pPr>
        <w:rPr>
          <w:rFonts w:ascii="仿宋" w:hAnsi="仿宋" w:cs="宋体"/>
          <w:b/>
          <w:szCs w:val="32"/>
        </w:rPr>
      </w:pPr>
      <w:r>
        <w:rPr>
          <w:rFonts w:hint="eastAsia" w:ascii="仿宋" w:hAnsi="仿宋" w:cs="宋体"/>
          <w:b/>
          <w:szCs w:val="32"/>
        </w:rPr>
        <w:t>1.4设施设备</w:t>
      </w:r>
    </w:p>
    <w:p>
      <w:pPr>
        <w:ind w:firstLine="640"/>
        <w:rPr>
          <w:rFonts w:ascii="仿宋" w:hAnsi="仿宋" w:cs="仿宋"/>
          <w:color w:val="auto"/>
          <w:highlight w:val="none"/>
        </w:rPr>
      </w:pPr>
      <w:r>
        <w:rPr>
          <w:rFonts w:ascii="仿宋" w:hAnsi="仿宋" w:cs="仿宋"/>
        </w:rPr>
        <w:t>学院建有汽车技术、机械加工、数控技术、模具制造、电气自动化、工业机器人、焊接钣金、原型建模等8个实训基地。通过实施国家高技能人才培训基地项目建设</w:t>
      </w:r>
      <w:r>
        <w:rPr>
          <w:rFonts w:hint="eastAsia" w:ascii="仿宋" w:hAnsi="仿宋" w:cs="仿宋"/>
          <w:lang w:eastAsia="zh-CN"/>
        </w:rPr>
        <w:t>、</w:t>
      </w:r>
      <w:r>
        <w:rPr>
          <w:rFonts w:ascii="仿宋" w:hAnsi="仿宋" w:cs="仿宋"/>
        </w:rPr>
        <w:t>辽宁省职业技能培训示范基地项目建设和沈阳市</w:t>
      </w:r>
      <w:r>
        <w:rPr>
          <w:rFonts w:hint="eastAsia" w:ascii="仿宋" w:hAnsi="仿宋" w:cs="仿宋"/>
          <w:lang w:eastAsia="zh-CN"/>
        </w:rPr>
        <w:t>标准化</w:t>
      </w:r>
      <w:r>
        <w:rPr>
          <w:rFonts w:ascii="仿宋" w:hAnsi="仿宋" w:cs="仿宋"/>
        </w:rPr>
        <w:t>中等职业学校项目建设，按照填平补齐，技术提升的原则，全年新增实训教学设备2</w:t>
      </w:r>
      <w:r>
        <w:rPr>
          <w:rFonts w:hint="eastAsia" w:ascii="仿宋" w:hAnsi="仿宋" w:cs="仿宋"/>
        </w:rPr>
        <w:t>4</w:t>
      </w:r>
      <w:r>
        <w:rPr>
          <w:rFonts w:ascii="仿宋" w:hAnsi="仿宋" w:cs="仿宋"/>
        </w:rPr>
        <w:t>3台（套），新增设备总值</w:t>
      </w:r>
      <w:r>
        <w:rPr>
          <w:rFonts w:hint="eastAsia" w:ascii="仿宋" w:hAnsi="仿宋" w:cs="仿宋"/>
        </w:rPr>
        <w:t>491</w:t>
      </w:r>
      <w:r>
        <w:rPr>
          <w:rFonts w:ascii="仿宋" w:hAnsi="仿宋" w:cs="仿宋"/>
        </w:rPr>
        <w:t>万元</w:t>
      </w:r>
      <w:r>
        <w:rPr>
          <w:rFonts w:ascii="仿宋" w:hAnsi="仿宋" w:cs="仿宋"/>
          <w:highlight w:val="none"/>
        </w:rPr>
        <w:t>，</w:t>
      </w:r>
      <w:r>
        <w:rPr>
          <w:rFonts w:ascii="仿宋" w:hAnsi="仿宋" w:cs="仿宋"/>
          <w:color w:val="auto"/>
          <w:highlight w:val="none"/>
        </w:rPr>
        <w:t>学院纸质藏书量72288</w:t>
      </w:r>
      <w:r>
        <w:rPr>
          <w:rFonts w:hint="eastAsia" w:ascii="仿宋" w:hAnsi="仿宋" w:cs="仿宋"/>
          <w:color w:val="auto"/>
          <w:highlight w:val="none"/>
        </w:rPr>
        <w:t>万</w:t>
      </w:r>
      <w:r>
        <w:rPr>
          <w:rFonts w:ascii="仿宋" w:hAnsi="仿宋" w:cs="仿宋"/>
          <w:color w:val="auto"/>
          <w:highlight w:val="none"/>
        </w:rPr>
        <w:t>册,新增</w:t>
      </w:r>
      <w:r>
        <w:rPr>
          <w:rFonts w:hint="eastAsia" w:ascii="仿宋" w:hAnsi="仿宋" w:cs="仿宋"/>
          <w:color w:val="auto"/>
          <w:highlight w:val="none"/>
        </w:rPr>
        <w:t>3</w:t>
      </w:r>
      <w:r>
        <w:rPr>
          <w:rFonts w:ascii="仿宋" w:hAnsi="仿宋" w:cs="仿宋"/>
          <w:color w:val="auto"/>
          <w:highlight w:val="none"/>
        </w:rPr>
        <w:t>700册</w:t>
      </w:r>
      <w:r>
        <w:rPr>
          <w:rFonts w:hint="eastAsia" w:ascii="仿宋" w:hAnsi="仿宋" w:cs="仿宋"/>
          <w:color w:val="auto"/>
          <w:highlight w:val="none"/>
        </w:rPr>
        <w:t>，</w:t>
      </w:r>
      <w:r>
        <w:rPr>
          <w:rFonts w:ascii="仿宋" w:hAnsi="仿宋" w:cs="仿宋"/>
          <w:color w:val="auto"/>
          <w:highlight w:val="none"/>
        </w:rPr>
        <w:t>生均</w:t>
      </w:r>
      <w:r>
        <w:rPr>
          <w:rFonts w:hint="eastAsia" w:ascii="仿宋" w:hAnsi="仿宋" w:cs="仿宋"/>
          <w:color w:val="auto"/>
          <w:highlight w:val="none"/>
        </w:rPr>
        <w:t>3</w:t>
      </w:r>
      <w:r>
        <w:rPr>
          <w:rFonts w:hint="eastAsia" w:ascii="仿宋" w:hAnsi="仿宋" w:cs="仿宋"/>
          <w:color w:val="auto"/>
          <w:highlight w:val="none"/>
          <w:lang w:val="en-US" w:eastAsia="zh-CN"/>
        </w:rPr>
        <w:t>5</w:t>
      </w:r>
      <w:r>
        <w:rPr>
          <w:rFonts w:ascii="仿宋" w:hAnsi="仿宋" w:cs="仿宋"/>
          <w:color w:val="auto"/>
          <w:highlight w:val="none"/>
        </w:rPr>
        <w:t>册。</w:t>
      </w:r>
    </w:p>
    <w:p>
      <w:pPr>
        <w:spacing w:beforeLines="50"/>
        <w:jc w:val="center"/>
        <w:rPr>
          <w:rFonts w:ascii="仿宋" w:hAnsi="仿宋" w:cs="宋体"/>
          <w:sz w:val="28"/>
          <w:szCs w:val="28"/>
        </w:rPr>
      </w:pPr>
      <w:r>
        <w:rPr>
          <w:rFonts w:ascii="仿宋" w:hAnsi="仿宋" w:cs="宋体"/>
          <w:sz w:val="28"/>
          <w:szCs w:val="28"/>
        </w:rPr>
        <w:t>表</w:t>
      </w:r>
      <w:r>
        <w:rPr>
          <w:rFonts w:hint="eastAsia" w:ascii="仿宋" w:hAnsi="仿宋" w:cs="宋体"/>
          <w:sz w:val="28"/>
          <w:szCs w:val="28"/>
          <w:lang w:val="en-US" w:eastAsia="zh-CN"/>
        </w:rPr>
        <w:t>4</w:t>
      </w:r>
      <w:r>
        <w:rPr>
          <w:rFonts w:hint="eastAsia" w:ascii="仿宋" w:hAnsi="仿宋" w:cs="宋体"/>
          <w:sz w:val="28"/>
          <w:szCs w:val="28"/>
        </w:rPr>
        <w:t xml:space="preserve"> </w:t>
      </w:r>
      <w:r>
        <w:rPr>
          <w:rFonts w:ascii="仿宋" w:hAnsi="仿宋" w:cs="宋体"/>
          <w:sz w:val="28"/>
          <w:szCs w:val="28"/>
        </w:rPr>
        <w:t>生均教学仪器设备值、生均实训工位数</w:t>
      </w:r>
    </w:p>
    <w:tbl>
      <w:tblPr>
        <w:tblStyle w:val="13"/>
        <w:tblW w:w="833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6"/>
        <w:gridCol w:w="1417"/>
        <w:gridCol w:w="1115"/>
        <w:gridCol w:w="1578"/>
        <w:gridCol w:w="1572"/>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06" w:type="dxa"/>
            <w:vAlign w:val="center"/>
          </w:tcPr>
          <w:p>
            <w:pPr>
              <w:widowControl/>
              <w:adjustRightInd w:val="0"/>
              <w:snapToGrid w:val="0"/>
              <w:spacing w:line="240" w:lineRule="auto"/>
              <w:jc w:val="center"/>
              <w:textAlignment w:val="center"/>
              <w:rPr>
                <w:rFonts w:ascii="仿宋" w:hAnsi="仿宋" w:cs="仿宋"/>
                <w:b/>
                <w:sz w:val="24"/>
                <w:szCs w:val="24"/>
              </w:rPr>
            </w:pPr>
            <w:r>
              <w:rPr>
                <w:rFonts w:ascii="仿宋" w:hAnsi="仿宋" w:cs="仿宋"/>
                <w:b/>
                <w:sz w:val="24"/>
                <w:szCs w:val="24"/>
              </w:rPr>
              <w:t>年</w:t>
            </w:r>
            <w:r>
              <w:rPr>
                <w:rFonts w:hint="eastAsia" w:ascii="仿宋" w:hAnsi="仿宋" w:cs="仿宋"/>
                <w:b/>
                <w:sz w:val="24"/>
                <w:szCs w:val="24"/>
              </w:rPr>
              <w:t xml:space="preserve"> </w:t>
            </w:r>
            <w:r>
              <w:rPr>
                <w:rFonts w:ascii="仿宋" w:hAnsi="仿宋" w:cs="仿宋"/>
                <w:b/>
                <w:sz w:val="24"/>
                <w:szCs w:val="24"/>
              </w:rPr>
              <w:t>度</w:t>
            </w:r>
          </w:p>
        </w:tc>
        <w:tc>
          <w:tcPr>
            <w:tcW w:w="1417" w:type="dxa"/>
            <w:vAlign w:val="center"/>
          </w:tcPr>
          <w:p>
            <w:pPr>
              <w:widowControl/>
              <w:adjustRightInd w:val="0"/>
              <w:snapToGrid w:val="0"/>
              <w:spacing w:line="240" w:lineRule="auto"/>
              <w:jc w:val="center"/>
              <w:textAlignment w:val="center"/>
              <w:rPr>
                <w:rFonts w:ascii="仿宋" w:hAnsi="仿宋" w:cs="仿宋"/>
                <w:b/>
                <w:sz w:val="24"/>
                <w:szCs w:val="24"/>
              </w:rPr>
            </w:pPr>
            <w:r>
              <w:rPr>
                <w:rFonts w:ascii="仿宋" w:hAnsi="仿宋" w:cs="仿宋"/>
                <w:b/>
                <w:sz w:val="24"/>
                <w:szCs w:val="24"/>
              </w:rPr>
              <w:t>设备值</w:t>
            </w:r>
            <w:r>
              <w:rPr>
                <w:rFonts w:hint="eastAsia" w:ascii="仿宋" w:hAnsi="仿宋" w:cs="仿宋"/>
                <w:b/>
                <w:sz w:val="24"/>
                <w:szCs w:val="24"/>
              </w:rPr>
              <w:br w:type="textWrapping"/>
            </w:r>
            <w:r>
              <w:rPr>
                <w:rFonts w:hint="eastAsia" w:ascii="仿宋" w:hAnsi="仿宋" w:cs="仿宋"/>
                <w:b/>
                <w:sz w:val="24"/>
                <w:szCs w:val="24"/>
              </w:rPr>
              <w:t>(万元)</w:t>
            </w:r>
          </w:p>
        </w:tc>
        <w:tc>
          <w:tcPr>
            <w:tcW w:w="1115" w:type="dxa"/>
            <w:vAlign w:val="center"/>
          </w:tcPr>
          <w:p>
            <w:pPr>
              <w:widowControl/>
              <w:adjustRightInd w:val="0"/>
              <w:snapToGrid w:val="0"/>
              <w:spacing w:line="240" w:lineRule="auto"/>
              <w:jc w:val="center"/>
              <w:textAlignment w:val="center"/>
              <w:rPr>
                <w:rFonts w:ascii="仿宋" w:hAnsi="仿宋" w:cs="仿宋"/>
                <w:b/>
                <w:sz w:val="24"/>
                <w:szCs w:val="24"/>
              </w:rPr>
            </w:pPr>
            <w:r>
              <w:rPr>
                <w:rFonts w:ascii="仿宋" w:hAnsi="仿宋" w:cs="仿宋"/>
                <w:b/>
                <w:sz w:val="24"/>
                <w:szCs w:val="24"/>
              </w:rPr>
              <w:t>工位数</w:t>
            </w:r>
            <w:r>
              <w:rPr>
                <w:rFonts w:hint="eastAsia" w:ascii="仿宋" w:hAnsi="仿宋" w:cs="仿宋"/>
                <w:b/>
                <w:sz w:val="24"/>
                <w:szCs w:val="24"/>
              </w:rPr>
              <w:br w:type="textWrapping"/>
            </w:r>
            <w:r>
              <w:rPr>
                <w:rFonts w:hint="eastAsia" w:ascii="仿宋" w:hAnsi="仿宋" w:cs="仿宋"/>
                <w:b/>
                <w:sz w:val="24"/>
                <w:szCs w:val="24"/>
              </w:rPr>
              <w:t>（个）</w:t>
            </w:r>
          </w:p>
        </w:tc>
        <w:tc>
          <w:tcPr>
            <w:tcW w:w="1578" w:type="dxa"/>
            <w:vAlign w:val="center"/>
          </w:tcPr>
          <w:p>
            <w:pPr>
              <w:widowControl/>
              <w:adjustRightInd w:val="0"/>
              <w:snapToGrid w:val="0"/>
              <w:spacing w:line="240" w:lineRule="auto"/>
              <w:jc w:val="center"/>
              <w:textAlignment w:val="center"/>
              <w:rPr>
                <w:rFonts w:ascii="仿宋" w:hAnsi="仿宋" w:cs="仿宋"/>
                <w:b/>
                <w:sz w:val="24"/>
                <w:szCs w:val="24"/>
              </w:rPr>
            </w:pPr>
            <w:r>
              <w:rPr>
                <w:rFonts w:ascii="仿宋" w:hAnsi="仿宋" w:cs="仿宋"/>
                <w:b/>
                <w:color w:val="000000"/>
                <w:sz w:val="24"/>
                <w:szCs w:val="24"/>
              </w:rPr>
              <w:t>学生</w:t>
            </w:r>
            <w:r>
              <w:rPr>
                <w:rFonts w:ascii="仿宋" w:hAnsi="仿宋" w:cs="仿宋"/>
                <w:b/>
                <w:sz w:val="24"/>
                <w:szCs w:val="24"/>
              </w:rPr>
              <w:t>数</w:t>
            </w:r>
          </w:p>
        </w:tc>
        <w:tc>
          <w:tcPr>
            <w:tcW w:w="1572" w:type="dxa"/>
            <w:vAlign w:val="center"/>
          </w:tcPr>
          <w:p>
            <w:pPr>
              <w:widowControl/>
              <w:adjustRightInd w:val="0"/>
              <w:snapToGrid w:val="0"/>
              <w:spacing w:line="240" w:lineRule="auto"/>
              <w:jc w:val="center"/>
              <w:textAlignment w:val="center"/>
              <w:rPr>
                <w:rFonts w:ascii="仿宋" w:hAnsi="仿宋" w:cs="仿宋"/>
                <w:b/>
                <w:sz w:val="24"/>
                <w:szCs w:val="24"/>
              </w:rPr>
            </w:pPr>
            <w:r>
              <w:rPr>
                <w:rFonts w:ascii="仿宋" w:hAnsi="仿宋" w:cs="仿宋"/>
                <w:b/>
                <w:sz w:val="24"/>
                <w:szCs w:val="24"/>
              </w:rPr>
              <w:t>生均设备值(万元）</w:t>
            </w:r>
          </w:p>
        </w:tc>
        <w:tc>
          <w:tcPr>
            <w:tcW w:w="1348" w:type="dxa"/>
            <w:vAlign w:val="center"/>
          </w:tcPr>
          <w:p>
            <w:pPr>
              <w:widowControl/>
              <w:adjustRightInd w:val="0"/>
              <w:snapToGrid w:val="0"/>
              <w:spacing w:line="240" w:lineRule="auto"/>
              <w:jc w:val="center"/>
              <w:textAlignment w:val="center"/>
              <w:rPr>
                <w:rFonts w:ascii="仿宋" w:hAnsi="仿宋" w:cs="仿宋"/>
                <w:b/>
                <w:sz w:val="24"/>
                <w:szCs w:val="24"/>
              </w:rPr>
            </w:pPr>
            <w:r>
              <w:rPr>
                <w:rFonts w:ascii="仿宋" w:hAnsi="仿宋" w:cs="仿宋"/>
                <w:b/>
                <w:sz w:val="24"/>
                <w:szCs w:val="24"/>
              </w:rPr>
              <w:t>生均工位数</w:t>
            </w:r>
            <w:r>
              <w:rPr>
                <w:rFonts w:hint="eastAsia" w:ascii="仿宋" w:hAnsi="仿宋" w:cs="仿宋"/>
                <w:b/>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jc w:val="center"/>
        </w:trPr>
        <w:tc>
          <w:tcPr>
            <w:tcW w:w="1306" w:type="dxa"/>
          </w:tcPr>
          <w:p>
            <w:pPr>
              <w:jc w:val="center"/>
              <w:rPr>
                <w:rFonts w:ascii="仿宋" w:hAnsi="仿宋" w:cs="仿宋"/>
                <w:sz w:val="24"/>
                <w:szCs w:val="24"/>
              </w:rPr>
            </w:pPr>
            <w:r>
              <w:rPr>
                <w:rFonts w:ascii="仿宋" w:hAnsi="仿宋" w:cs="仿宋"/>
                <w:sz w:val="24"/>
                <w:szCs w:val="24"/>
              </w:rPr>
              <w:t>2017</w:t>
            </w:r>
          </w:p>
        </w:tc>
        <w:tc>
          <w:tcPr>
            <w:tcW w:w="1417" w:type="dxa"/>
          </w:tcPr>
          <w:p>
            <w:pPr>
              <w:jc w:val="center"/>
              <w:rPr>
                <w:rFonts w:ascii="仿宋" w:hAnsi="仿宋" w:cs="仿宋"/>
                <w:sz w:val="24"/>
                <w:szCs w:val="24"/>
              </w:rPr>
            </w:pPr>
            <w:r>
              <w:rPr>
                <w:rFonts w:ascii="仿宋" w:hAnsi="仿宋" w:cs="仿宋"/>
                <w:sz w:val="24"/>
                <w:szCs w:val="24"/>
              </w:rPr>
              <w:t>6332</w:t>
            </w:r>
          </w:p>
        </w:tc>
        <w:tc>
          <w:tcPr>
            <w:tcW w:w="1115" w:type="dxa"/>
          </w:tcPr>
          <w:p>
            <w:pPr>
              <w:jc w:val="center"/>
              <w:rPr>
                <w:rFonts w:ascii="仿宋" w:hAnsi="仿宋" w:cs="仿宋"/>
                <w:sz w:val="24"/>
                <w:szCs w:val="24"/>
              </w:rPr>
            </w:pPr>
            <w:r>
              <w:rPr>
                <w:rFonts w:ascii="仿宋" w:hAnsi="仿宋" w:cs="仿宋"/>
                <w:sz w:val="24"/>
                <w:szCs w:val="24"/>
              </w:rPr>
              <w:t>1612</w:t>
            </w:r>
          </w:p>
        </w:tc>
        <w:tc>
          <w:tcPr>
            <w:tcW w:w="1578" w:type="dxa"/>
          </w:tcPr>
          <w:p>
            <w:pPr>
              <w:jc w:val="center"/>
              <w:rPr>
                <w:rFonts w:ascii="仿宋" w:hAnsi="仿宋" w:cs="仿宋"/>
                <w:sz w:val="24"/>
                <w:szCs w:val="24"/>
              </w:rPr>
            </w:pPr>
            <w:r>
              <w:rPr>
                <w:rFonts w:ascii="仿宋" w:hAnsi="仿宋" w:cs="仿宋"/>
                <w:sz w:val="24"/>
                <w:szCs w:val="24"/>
              </w:rPr>
              <w:t>2182</w:t>
            </w:r>
          </w:p>
        </w:tc>
        <w:tc>
          <w:tcPr>
            <w:tcW w:w="1572" w:type="dxa"/>
          </w:tcPr>
          <w:p>
            <w:pPr>
              <w:jc w:val="center"/>
              <w:rPr>
                <w:rFonts w:ascii="仿宋" w:hAnsi="仿宋" w:cs="仿宋"/>
                <w:sz w:val="24"/>
                <w:szCs w:val="24"/>
              </w:rPr>
            </w:pPr>
            <w:r>
              <w:rPr>
                <w:rFonts w:ascii="仿宋" w:hAnsi="仿宋" w:cs="仿宋"/>
                <w:sz w:val="24"/>
                <w:szCs w:val="24"/>
              </w:rPr>
              <w:t>2.9</w:t>
            </w:r>
          </w:p>
        </w:tc>
        <w:tc>
          <w:tcPr>
            <w:tcW w:w="1348" w:type="dxa"/>
          </w:tcPr>
          <w:p>
            <w:pPr>
              <w:jc w:val="center"/>
              <w:rPr>
                <w:rFonts w:ascii="仿宋" w:hAnsi="仿宋" w:cs="仿宋"/>
                <w:sz w:val="24"/>
                <w:szCs w:val="24"/>
              </w:rPr>
            </w:pPr>
            <w:r>
              <w:rPr>
                <w:rFonts w:ascii="仿宋" w:hAnsi="仿宋" w:cs="仿宋"/>
                <w:sz w:val="24"/>
                <w:szCs w:val="24"/>
              </w:rPr>
              <w:t>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jc w:val="center"/>
        </w:trPr>
        <w:tc>
          <w:tcPr>
            <w:tcW w:w="1306" w:type="dxa"/>
          </w:tcPr>
          <w:p>
            <w:pPr>
              <w:jc w:val="center"/>
              <w:rPr>
                <w:rFonts w:ascii="仿宋" w:hAnsi="仿宋" w:cs="仿宋"/>
                <w:sz w:val="24"/>
                <w:szCs w:val="24"/>
              </w:rPr>
            </w:pPr>
            <w:r>
              <w:rPr>
                <w:rFonts w:hint="eastAsia" w:ascii="仿宋" w:hAnsi="仿宋" w:cs="仿宋"/>
                <w:sz w:val="24"/>
                <w:szCs w:val="24"/>
              </w:rPr>
              <w:t>2018</w:t>
            </w:r>
          </w:p>
        </w:tc>
        <w:tc>
          <w:tcPr>
            <w:tcW w:w="1417" w:type="dxa"/>
          </w:tcPr>
          <w:p>
            <w:pPr>
              <w:jc w:val="center"/>
              <w:rPr>
                <w:rFonts w:ascii="仿宋" w:hAnsi="仿宋" w:cs="仿宋"/>
                <w:sz w:val="24"/>
                <w:szCs w:val="24"/>
              </w:rPr>
            </w:pPr>
            <w:r>
              <w:rPr>
                <w:rFonts w:hint="eastAsia" w:ascii="仿宋" w:hAnsi="仿宋" w:cs="仿宋"/>
                <w:sz w:val="24"/>
                <w:szCs w:val="24"/>
              </w:rPr>
              <w:t>6684</w:t>
            </w:r>
          </w:p>
        </w:tc>
        <w:tc>
          <w:tcPr>
            <w:tcW w:w="1115" w:type="dxa"/>
          </w:tcPr>
          <w:p>
            <w:pPr>
              <w:jc w:val="center"/>
              <w:rPr>
                <w:rFonts w:ascii="仿宋" w:hAnsi="仿宋" w:cs="仿宋"/>
                <w:sz w:val="24"/>
                <w:szCs w:val="24"/>
              </w:rPr>
            </w:pPr>
            <w:r>
              <w:rPr>
                <w:rFonts w:hint="eastAsia" w:ascii="仿宋" w:hAnsi="仿宋" w:cs="仿宋"/>
                <w:sz w:val="24"/>
                <w:szCs w:val="24"/>
              </w:rPr>
              <w:t>1662</w:t>
            </w:r>
          </w:p>
        </w:tc>
        <w:tc>
          <w:tcPr>
            <w:tcW w:w="1578" w:type="dxa"/>
          </w:tcPr>
          <w:p>
            <w:pPr>
              <w:jc w:val="center"/>
              <w:rPr>
                <w:rFonts w:ascii="仿宋" w:hAnsi="仿宋" w:cs="仿宋"/>
                <w:sz w:val="24"/>
                <w:szCs w:val="24"/>
              </w:rPr>
            </w:pPr>
            <w:r>
              <w:rPr>
                <w:rFonts w:hint="eastAsia" w:ascii="仿宋" w:hAnsi="仿宋" w:cs="仿宋"/>
                <w:sz w:val="24"/>
                <w:szCs w:val="24"/>
                <w:lang w:val="en-US" w:eastAsia="zh-CN"/>
              </w:rPr>
              <w:t>20</w:t>
            </w:r>
            <w:r>
              <w:rPr>
                <w:rFonts w:hint="eastAsia" w:ascii="仿宋" w:hAnsi="仿宋" w:cs="仿宋"/>
                <w:sz w:val="24"/>
                <w:szCs w:val="24"/>
              </w:rPr>
              <w:t>56</w:t>
            </w:r>
          </w:p>
        </w:tc>
        <w:tc>
          <w:tcPr>
            <w:tcW w:w="1572" w:type="dxa"/>
          </w:tcPr>
          <w:p>
            <w:pPr>
              <w:jc w:val="center"/>
              <w:rPr>
                <w:rFonts w:hint="eastAsia" w:ascii="仿宋" w:hAnsi="仿宋" w:eastAsia="仿宋" w:cs="仿宋"/>
                <w:sz w:val="24"/>
                <w:szCs w:val="24"/>
                <w:lang w:val="en-US" w:eastAsia="zh-CN"/>
              </w:rPr>
            </w:pPr>
            <w:r>
              <w:rPr>
                <w:rFonts w:hint="eastAsia" w:ascii="仿宋" w:hAnsi="仿宋" w:cs="仿宋"/>
                <w:sz w:val="24"/>
                <w:szCs w:val="24"/>
              </w:rPr>
              <w:t>3.</w:t>
            </w:r>
            <w:r>
              <w:rPr>
                <w:rFonts w:hint="eastAsia" w:ascii="仿宋" w:hAnsi="仿宋" w:cs="仿宋"/>
                <w:sz w:val="24"/>
                <w:szCs w:val="24"/>
                <w:lang w:val="en-US" w:eastAsia="zh-CN"/>
              </w:rPr>
              <w:t>3</w:t>
            </w:r>
          </w:p>
        </w:tc>
        <w:tc>
          <w:tcPr>
            <w:tcW w:w="1348" w:type="dxa"/>
          </w:tcPr>
          <w:p>
            <w:pPr>
              <w:jc w:val="center"/>
              <w:rPr>
                <w:rFonts w:hint="eastAsia" w:ascii="仿宋" w:hAnsi="仿宋" w:eastAsia="仿宋" w:cs="仿宋"/>
                <w:sz w:val="24"/>
                <w:szCs w:val="24"/>
                <w:lang w:val="en-US" w:eastAsia="zh-CN"/>
              </w:rPr>
            </w:pPr>
            <w:r>
              <w:rPr>
                <w:rFonts w:hint="eastAsia" w:ascii="仿宋" w:hAnsi="仿宋" w:cs="仿宋"/>
                <w:sz w:val="24"/>
                <w:szCs w:val="24"/>
              </w:rPr>
              <w:t>0.8</w:t>
            </w:r>
            <w:r>
              <w:rPr>
                <w:rFonts w:hint="eastAsia" w:ascii="仿宋" w:hAnsi="仿宋" w:cs="仿宋"/>
                <w:sz w:val="24"/>
                <w:szCs w:val="24"/>
                <w:lang w:val="en-US" w:eastAsia="zh-CN"/>
              </w:rPr>
              <w:t>1</w:t>
            </w:r>
          </w:p>
        </w:tc>
      </w:tr>
    </w:tbl>
    <w:p>
      <w:pPr>
        <w:rPr>
          <w:rFonts w:ascii="黑体" w:hAnsi="黑体" w:eastAsia="黑体" w:cs="黑体"/>
          <w:szCs w:val="32"/>
        </w:rPr>
      </w:pPr>
    </w:p>
    <w:p>
      <w:pPr>
        <w:rPr>
          <w:rFonts w:ascii="黑体" w:hAnsi="黑体" w:eastAsia="黑体" w:cs="黑体"/>
          <w:szCs w:val="32"/>
        </w:rPr>
      </w:pPr>
      <w:r>
        <w:rPr>
          <w:rFonts w:hint="eastAsia" w:ascii="黑体" w:hAnsi="黑体" w:eastAsia="黑体" w:cs="黑体"/>
          <w:szCs w:val="32"/>
        </w:rPr>
        <w:t>2.学生发展</w:t>
      </w:r>
    </w:p>
    <w:p>
      <w:pPr>
        <w:rPr>
          <w:rFonts w:ascii="仿宋" w:hAnsi="仿宋" w:cs="仿宋"/>
          <w:b/>
        </w:rPr>
      </w:pPr>
      <w:r>
        <w:rPr>
          <w:rFonts w:hint="eastAsia" w:ascii="仿宋" w:hAnsi="仿宋" w:cs="仿宋"/>
          <w:b/>
          <w:szCs w:val="32"/>
        </w:rPr>
        <w:t>2.1学生素质</w:t>
      </w:r>
    </w:p>
    <w:p>
      <w:pPr>
        <w:ind w:firstLine="640"/>
        <w:rPr>
          <w:rFonts w:ascii="仿宋" w:hAnsi="仿宋" w:cs="仿宋"/>
        </w:rPr>
      </w:pPr>
      <w:r>
        <w:rPr>
          <w:rFonts w:hint="eastAsia" w:ascii="仿宋" w:hAnsi="仿宋" w:cs="仿宋"/>
        </w:rPr>
        <w:t>学院始终把向社会输送应用型技能人才作为培养目标，将文明行为养成教育、专业能力形成教育、就业创业指导教育融入到育人成才的全过程。积极为学生搭建素质拓展平台，以校园文化引领作为素质教育的重要手段，以专业性学生社团和技能竞赛作为学生技能成才的重要载体，将德、智、体、技、能作为对学生操行评价考核的主要指标，促进学生素质的全面发展。</w:t>
      </w:r>
    </w:p>
    <w:p>
      <w:pPr>
        <w:spacing w:beforeLines="50"/>
        <w:jc w:val="center"/>
        <w:rPr>
          <w:rFonts w:ascii="仿宋" w:hAnsi="仿宋" w:cs="仿宋"/>
          <w:szCs w:val="32"/>
        </w:rPr>
      </w:pPr>
      <w:r>
        <w:rPr>
          <w:rFonts w:hint="eastAsia" w:ascii="仿宋" w:hAnsi="仿宋" w:cs="宋体"/>
          <w:sz w:val="28"/>
          <w:szCs w:val="28"/>
        </w:rPr>
        <w:t>表</w:t>
      </w:r>
      <w:r>
        <w:rPr>
          <w:rFonts w:hint="eastAsia" w:ascii="仿宋" w:hAnsi="仿宋" w:cs="宋体"/>
          <w:sz w:val="28"/>
          <w:szCs w:val="28"/>
          <w:lang w:val="en-US" w:eastAsia="zh-CN"/>
        </w:rPr>
        <w:t>5</w:t>
      </w:r>
      <w:r>
        <w:rPr>
          <w:rFonts w:hint="eastAsia" w:ascii="仿宋" w:hAnsi="仿宋" w:cs="宋体"/>
          <w:sz w:val="28"/>
          <w:szCs w:val="28"/>
        </w:rPr>
        <w:t xml:space="preserve"> 学生素质量化指标</w:t>
      </w:r>
    </w:p>
    <w:tbl>
      <w:tblPr>
        <w:tblStyle w:val="12"/>
        <w:tblW w:w="8823" w:type="dxa"/>
        <w:tblInd w:w="-6" w:type="dxa"/>
        <w:tblLayout w:type="fixed"/>
        <w:tblCellMar>
          <w:top w:w="15" w:type="dxa"/>
          <w:left w:w="15" w:type="dxa"/>
          <w:bottom w:w="15" w:type="dxa"/>
          <w:right w:w="15" w:type="dxa"/>
        </w:tblCellMar>
      </w:tblPr>
      <w:tblGrid>
        <w:gridCol w:w="1242"/>
        <w:gridCol w:w="2116"/>
        <w:gridCol w:w="2340"/>
        <w:gridCol w:w="1895"/>
        <w:gridCol w:w="1230"/>
      </w:tblGrid>
      <w:tr>
        <w:tblPrEx>
          <w:tblLayout w:type="fixed"/>
          <w:tblCellMar>
            <w:top w:w="15" w:type="dxa"/>
            <w:left w:w="15" w:type="dxa"/>
            <w:bottom w:w="15" w:type="dxa"/>
            <w:right w:w="15" w:type="dxa"/>
          </w:tblCellMar>
        </w:tblPrEx>
        <w:trPr>
          <w:trHeight w:val="735"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b/>
                <w:color w:val="000000"/>
                <w:sz w:val="24"/>
                <w:szCs w:val="24"/>
              </w:rPr>
            </w:pPr>
            <w:r>
              <w:rPr>
                <w:rFonts w:hint="eastAsia" w:ascii="仿宋" w:hAnsi="仿宋" w:cs="仿宋"/>
                <w:b/>
                <w:color w:val="000000"/>
                <w:kern w:val="0"/>
                <w:sz w:val="24"/>
                <w:szCs w:val="24"/>
              </w:rPr>
              <w:t>时  间</w:t>
            </w:r>
          </w:p>
        </w:tc>
        <w:tc>
          <w:tcPr>
            <w:tcW w:w="2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b/>
                <w:color w:val="000000"/>
                <w:sz w:val="24"/>
                <w:szCs w:val="24"/>
              </w:rPr>
            </w:pPr>
            <w:r>
              <w:rPr>
                <w:rFonts w:hint="eastAsia" w:ascii="仿宋" w:hAnsi="仿宋" w:cs="仿宋"/>
                <w:b/>
                <w:color w:val="000000"/>
                <w:sz w:val="24"/>
                <w:szCs w:val="24"/>
              </w:rPr>
              <w:t>文化课合格率</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b/>
                <w:color w:val="000000"/>
                <w:kern w:val="0"/>
                <w:sz w:val="24"/>
                <w:szCs w:val="24"/>
              </w:rPr>
            </w:pPr>
            <w:r>
              <w:rPr>
                <w:rFonts w:hint="eastAsia" w:ascii="仿宋" w:hAnsi="仿宋" w:cs="仿宋"/>
                <w:b/>
                <w:color w:val="000000"/>
                <w:kern w:val="0"/>
                <w:sz w:val="24"/>
                <w:szCs w:val="24"/>
              </w:rPr>
              <w:t>专业技能合格率</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b/>
                <w:color w:val="000000"/>
                <w:kern w:val="0"/>
                <w:sz w:val="24"/>
                <w:szCs w:val="24"/>
              </w:rPr>
            </w:pPr>
            <w:r>
              <w:rPr>
                <w:rFonts w:hint="eastAsia" w:ascii="仿宋" w:hAnsi="仿宋" w:cs="仿宋"/>
                <w:b/>
                <w:color w:val="000000"/>
                <w:kern w:val="0"/>
                <w:sz w:val="24"/>
                <w:szCs w:val="24"/>
              </w:rPr>
              <w:t>体质测评合格率</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b/>
                <w:color w:val="000000"/>
                <w:sz w:val="24"/>
                <w:szCs w:val="24"/>
              </w:rPr>
            </w:pPr>
            <w:r>
              <w:rPr>
                <w:rFonts w:hint="eastAsia" w:ascii="仿宋" w:hAnsi="仿宋" w:cs="仿宋"/>
                <w:b/>
                <w:color w:val="000000"/>
                <w:sz w:val="24"/>
                <w:szCs w:val="24"/>
              </w:rPr>
              <w:t>毕业率</w:t>
            </w:r>
          </w:p>
        </w:tc>
      </w:tr>
      <w:tr>
        <w:tblPrEx>
          <w:tblLayout w:type="fixed"/>
          <w:tblCellMar>
            <w:top w:w="15" w:type="dxa"/>
            <w:left w:w="15" w:type="dxa"/>
            <w:bottom w:w="15" w:type="dxa"/>
            <w:right w:w="15" w:type="dxa"/>
          </w:tblCellMar>
        </w:tblPrEx>
        <w:trPr>
          <w:trHeight w:val="343"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sz w:val="24"/>
                <w:szCs w:val="24"/>
              </w:rPr>
            </w:pPr>
            <w:r>
              <w:rPr>
                <w:rFonts w:hint="eastAsia" w:ascii="仿宋" w:hAnsi="仿宋" w:cs="仿宋"/>
                <w:color w:val="000000"/>
                <w:kern w:val="0"/>
                <w:sz w:val="24"/>
                <w:szCs w:val="24"/>
              </w:rPr>
              <w:t>201</w:t>
            </w:r>
            <w:r>
              <w:rPr>
                <w:rFonts w:ascii="仿宋" w:hAnsi="仿宋" w:cs="仿宋"/>
                <w:color w:val="000000"/>
                <w:kern w:val="0"/>
                <w:sz w:val="24"/>
                <w:szCs w:val="24"/>
              </w:rPr>
              <w:t>8</w:t>
            </w:r>
            <w:r>
              <w:rPr>
                <w:rFonts w:hint="eastAsia" w:ascii="仿宋" w:hAnsi="仿宋" w:cs="仿宋"/>
                <w:color w:val="000000"/>
                <w:kern w:val="0"/>
                <w:sz w:val="24"/>
                <w:szCs w:val="24"/>
              </w:rPr>
              <w:t>年</w:t>
            </w:r>
          </w:p>
        </w:tc>
        <w:tc>
          <w:tcPr>
            <w:tcW w:w="2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sz w:val="24"/>
                <w:szCs w:val="24"/>
                <w:highlight w:val="none"/>
              </w:rPr>
            </w:pPr>
            <w:r>
              <w:rPr>
                <w:rFonts w:hint="eastAsia" w:ascii="仿宋" w:hAnsi="仿宋" w:cs="仿宋"/>
                <w:color w:val="000000"/>
                <w:sz w:val="24"/>
                <w:szCs w:val="24"/>
                <w:highlight w:val="none"/>
              </w:rPr>
              <w:t>9</w:t>
            </w:r>
            <w:r>
              <w:rPr>
                <w:rFonts w:ascii="仿宋" w:hAnsi="仿宋" w:cs="仿宋"/>
                <w:color w:val="000000"/>
                <w:sz w:val="24"/>
                <w:szCs w:val="24"/>
                <w:highlight w:val="none"/>
              </w:rPr>
              <w:t>4</w:t>
            </w:r>
            <w:r>
              <w:rPr>
                <w:rFonts w:hint="eastAsia" w:ascii="仿宋" w:hAnsi="仿宋" w:cs="仿宋"/>
                <w:color w:val="000000"/>
                <w:sz w:val="24"/>
                <w:szCs w:val="24"/>
                <w:highlight w:val="none"/>
              </w:rPr>
              <w:t>.6%</w:t>
            </w:r>
          </w:p>
        </w:tc>
        <w:tc>
          <w:tcPr>
            <w:tcW w:w="2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sz w:val="24"/>
                <w:szCs w:val="24"/>
                <w:highlight w:val="none"/>
              </w:rPr>
            </w:pPr>
            <w:r>
              <w:rPr>
                <w:rFonts w:ascii="仿宋" w:hAnsi="仿宋" w:cs="仿宋"/>
                <w:color w:val="000000"/>
                <w:sz w:val="24"/>
                <w:szCs w:val="24"/>
                <w:highlight w:val="none"/>
              </w:rPr>
              <w:t>96.3</w:t>
            </w:r>
            <w:r>
              <w:rPr>
                <w:rFonts w:hint="eastAsia" w:ascii="仿宋" w:hAnsi="仿宋" w:cs="仿宋"/>
                <w:color w:val="000000"/>
                <w:sz w:val="24"/>
                <w:szCs w:val="24"/>
                <w:highlight w:val="none"/>
              </w:rPr>
              <w:t>%</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sz w:val="24"/>
                <w:szCs w:val="24"/>
                <w:highlight w:val="none"/>
              </w:rPr>
            </w:pPr>
            <w:r>
              <w:rPr>
                <w:rFonts w:hint="eastAsia" w:ascii="仿宋" w:hAnsi="仿宋" w:cs="仿宋"/>
                <w:color w:val="000000"/>
                <w:sz w:val="24"/>
                <w:szCs w:val="24"/>
                <w:highlight w:val="none"/>
              </w:rPr>
              <w:t>8</w:t>
            </w:r>
            <w:r>
              <w:rPr>
                <w:rFonts w:ascii="仿宋" w:hAnsi="仿宋" w:cs="仿宋"/>
                <w:color w:val="000000"/>
                <w:sz w:val="24"/>
                <w:szCs w:val="24"/>
                <w:highlight w:val="none"/>
              </w:rPr>
              <w:t>3</w:t>
            </w:r>
            <w:r>
              <w:rPr>
                <w:rFonts w:hint="eastAsia" w:ascii="仿宋" w:hAnsi="仿宋" w:cs="仿宋"/>
                <w:color w:val="000000"/>
                <w:sz w:val="24"/>
                <w:szCs w:val="24"/>
                <w:highlight w:val="none"/>
              </w:rPr>
              <w:t>.9%</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cs="仿宋"/>
                <w:color w:val="000000"/>
                <w:sz w:val="24"/>
                <w:szCs w:val="24"/>
              </w:rPr>
            </w:pPr>
            <w:r>
              <w:rPr>
                <w:rFonts w:hint="eastAsia" w:ascii="仿宋" w:hAnsi="仿宋" w:cs="仿宋"/>
                <w:color w:val="000000"/>
                <w:sz w:val="24"/>
                <w:szCs w:val="24"/>
              </w:rPr>
              <w:t>100%</w:t>
            </w:r>
          </w:p>
        </w:tc>
      </w:tr>
    </w:tbl>
    <w:p>
      <w:pPr>
        <w:rPr>
          <w:rFonts w:ascii="仿宋" w:hAnsi="仿宋" w:cs="仿宋"/>
          <w:b/>
          <w:szCs w:val="32"/>
        </w:rPr>
      </w:pPr>
      <w:r>
        <w:rPr>
          <w:rFonts w:hint="eastAsia" w:ascii="仿宋" w:hAnsi="仿宋" w:cs="仿宋"/>
          <w:b/>
          <w:szCs w:val="32"/>
        </w:rPr>
        <w:t>2.2在校体验</w:t>
      </w:r>
    </w:p>
    <w:p>
      <w:pPr>
        <w:ind w:firstLine="640"/>
        <w:rPr>
          <w:rFonts w:ascii="仿宋" w:hAnsi="仿宋" w:cs="仿宋"/>
        </w:rPr>
      </w:pPr>
      <w:r>
        <w:rPr>
          <w:rFonts w:hint="eastAsia" w:ascii="仿宋" w:hAnsi="仿宋" w:cs="仿宋"/>
        </w:rPr>
        <w:t>通过座谈和不记名问卷的方式，统计了学生对学校的理论课学习、专业课学习、实习课学习以及学生在校生活、社团活动、校园安全和校园文化满意度，学生对理论课、专业课和实习课学习满意度均在 9</w:t>
      </w:r>
      <w:r>
        <w:rPr>
          <w:rFonts w:ascii="仿宋" w:hAnsi="仿宋" w:cs="仿宋"/>
        </w:rPr>
        <w:t>7</w:t>
      </w:r>
      <w:r>
        <w:rPr>
          <w:rFonts w:hint="eastAsia" w:ascii="仿宋" w:hAnsi="仿宋" w:cs="仿宋"/>
          <w:lang w:val="en-US" w:eastAsia="zh-CN"/>
        </w:rPr>
        <w:t>.4</w:t>
      </w:r>
      <w:r>
        <w:rPr>
          <w:rFonts w:hint="eastAsia" w:ascii="仿宋" w:hAnsi="仿宋" w:cs="仿宋"/>
        </w:rPr>
        <w:t xml:space="preserve"> %以上。通过访谈和问卷调查了解毕业生对学校的满意度为 9</w:t>
      </w:r>
      <w:r>
        <w:rPr>
          <w:rFonts w:hint="eastAsia" w:ascii="仿宋" w:hAnsi="仿宋" w:cs="仿宋"/>
          <w:lang w:val="en-US" w:eastAsia="zh-CN"/>
        </w:rPr>
        <w:t>7.7</w:t>
      </w:r>
      <w:r>
        <w:rPr>
          <w:rFonts w:hint="eastAsia" w:ascii="仿宋" w:hAnsi="仿宋" w:cs="仿宋"/>
        </w:rPr>
        <w:t xml:space="preserve"> %。</w:t>
      </w:r>
    </w:p>
    <w:p>
      <w:pPr>
        <w:spacing w:beforeLines="50"/>
        <w:jc w:val="center"/>
        <w:rPr>
          <w:rFonts w:hint="eastAsia" w:ascii="仿宋" w:hAnsi="仿宋" w:cs="宋体"/>
          <w:sz w:val="28"/>
          <w:szCs w:val="28"/>
        </w:rPr>
      </w:pPr>
    </w:p>
    <w:p>
      <w:pPr>
        <w:spacing w:beforeLines="50"/>
        <w:jc w:val="center"/>
        <w:rPr>
          <w:rFonts w:ascii="仿宋" w:hAnsi="仿宋" w:cs="宋体"/>
          <w:sz w:val="28"/>
          <w:szCs w:val="28"/>
        </w:rPr>
      </w:pPr>
      <w:r>
        <w:rPr>
          <w:rFonts w:hint="eastAsia" w:ascii="仿宋" w:hAnsi="仿宋" w:cs="宋体"/>
          <w:sz w:val="28"/>
          <w:szCs w:val="28"/>
        </w:rPr>
        <w:t>表</w:t>
      </w:r>
      <w:r>
        <w:rPr>
          <w:rFonts w:hint="eastAsia" w:ascii="仿宋" w:hAnsi="仿宋" w:cs="宋体"/>
          <w:sz w:val="28"/>
          <w:szCs w:val="28"/>
          <w:lang w:val="en-US" w:eastAsia="zh-CN"/>
        </w:rPr>
        <w:t>6</w:t>
      </w:r>
      <w:r>
        <w:rPr>
          <w:rFonts w:hint="eastAsia" w:ascii="仿宋" w:hAnsi="仿宋" w:cs="宋体"/>
          <w:sz w:val="28"/>
          <w:szCs w:val="28"/>
        </w:rPr>
        <w:t xml:space="preserve"> 学生满意度调查表数据分析（%）</w:t>
      </w:r>
    </w:p>
    <w:tbl>
      <w:tblPr>
        <w:tblStyle w:val="12"/>
        <w:tblW w:w="89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14"/>
        <w:gridCol w:w="1455"/>
        <w:gridCol w:w="1320"/>
        <w:gridCol w:w="1350"/>
        <w:gridCol w:w="1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3414" w:type="dxa"/>
            <w:shd w:val="clear" w:color="auto" w:fill="auto"/>
            <w:vAlign w:val="center"/>
          </w:tcPr>
          <w:p>
            <w:pPr>
              <w:adjustRightInd w:val="0"/>
              <w:snapToGrid w:val="0"/>
              <w:spacing w:line="240" w:lineRule="auto"/>
              <w:jc w:val="center"/>
              <w:rPr>
                <w:rFonts w:ascii="仿宋" w:hAnsi="仿宋"/>
                <w:b/>
                <w:sz w:val="24"/>
                <w:szCs w:val="24"/>
              </w:rPr>
            </w:pPr>
            <w:r>
              <w:rPr>
                <w:rFonts w:hint="eastAsia" w:ascii="仿宋" w:hAnsi="仿宋"/>
                <w:b/>
                <w:sz w:val="24"/>
                <w:szCs w:val="24"/>
              </w:rPr>
              <w:t>项 目</w:t>
            </w:r>
          </w:p>
        </w:tc>
        <w:tc>
          <w:tcPr>
            <w:tcW w:w="1455" w:type="dxa"/>
            <w:shd w:val="clear" w:color="auto" w:fill="auto"/>
            <w:vAlign w:val="center"/>
          </w:tcPr>
          <w:p>
            <w:pPr>
              <w:adjustRightInd w:val="0"/>
              <w:snapToGrid w:val="0"/>
              <w:spacing w:line="240" w:lineRule="auto"/>
              <w:jc w:val="center"/>
              <w:rPr>
                <w:rFonts w:ascii="仿宋" w:hAnsi="仿宋"/>
                <w:b/>
                <w:sz w:val="24"/>
                <w:szCs w:val="24"/>
              </w:rPr>
            </w:pPr>
            <w:r>
              <w:rPr>
                <w:rFonts w:hint="eastAsia" w:ascii="仿宋" w:hAnsi="仿宋"/>
                <w:b/>
                <w:sz w:val="24"/>
                <w:szCs w:val="24"/>
              </w:rPr>
              <w:t>非常满意</w:t>
            </w:r>
          </w:p>
        </w:tc>
        <w:tc>
          <w:tcPr>
            <w:tcW w:w="1320" w:type="dxa"/>
            <w:shd w:val="clear" w:color="auto" w:fill="auto"/>
            <w:vAlign w:val="center"/>
          </w:tcPr>
          <w:p>
            <w:pPr>
              <w:adjustRightInd w:val="0"/>
              <w:snapToGrid w:val="0"/>
              <w:spacing w:line="240" w:lineRule="auto"/>
              <w:jc w:val="center"/>
              <w:rPr>
                <w:rFonts w:ascii="仿宋" w:hAnsi="仿宋"/>
                <w:b/>
                <w:sz w:val="24"/>
                <w:szCs w:val="24"/>
              </w:rPr>
            </w:pPr>
            <w:r>
              <w:rPr>
                <w:rFonts w:hint="eastAsia" w:ascii="仿宋" w:hAnsi="仿宋"/>
                <w:b/>
                <w:sz w:val="24"/>
                <w:szCs w:val="24"/>
              </w:rPr>
              <w:t>满意</w:t>
            </w:r>
          </w:p>
        </w:tc>
        <w:tc>
          <w:tcPr>
            <w:tcW w:w="1350" w:type="dxa"/>
            <w:shd w:val="clear" w:color="auto" w:fill="auto"/>
            <w:vAlign w:val="center"/>
          </w:tcPr>
          <w:p>
            <w:pPr>
              <w:adjustRightInd w:val="0"/>
              <w:snapToGrid w:val="0"/>
              <w:spacing w:line="240" w:lineRule="auto"/>
              <w:jc w:val="center"/>
              <w:rPr>
                <w:rFonts w:ascii="仿宋" w:hAnsi="仿宋"/>
                <w:b/>
                <w:sz w:val="24"/>
                <w:szCs w:val="24"/>
              </w:rPr>
            </w:pPr>
            <w:r>
              <w:rPr>
                <w:rFonts w:hint="eastAsia" w:ascii="仿宋" w:hAnsi="仿宋"/>
                <w:b/>
                <w:sz w:val="24"/>
                <w:szCs w:val="24"/>
              </w:rPr>
              <w:t>一般</w:t>
            </w:r>
          </w:p>
        </w:tc>
        <w:tc>
          <w:tcPr>
            <w:tcW w:w="1395" w:type="dxa"/>
            <w:shd w:val="clear" w:color="auto" w:fill="auto"/>
            <w:vAlign w:val="center"/>
          </w:tcPr>
          <w:p>
            <w:pPr>
              <w:adjustRightInd w:val="0"/>
              <w:snapToGrid w:val="0"/>
              <w:spacing w:line="240" w:lineRule="auto"/>
              <w:jc w:val="center"/>
              <w:rPr>
                <w:rFonts w:ascii="仿宋" w:hAnsi="仿宋"/>
                <w:b/>
                <w:sz w:val="24"/>
                <w:szCs w:val="24"/>
              </w:rPr>
            </w:pPr>
            <w:r>
              <w:rPr>
                <w:rFonts w:hint="eastAsia" w:ascii="仿宋" w:hAnsi="仿宋"/>
                <w:b/>
                <w:sz w:val="24"/>
                <w:szCs w:val="24"/>
              </w:rPr>
              <w:t>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6" w:hRule="atLeast"/>
          <w:jc w:val="center"/>
        </w:trPr>
        <w:tc>
          <w:tcPr>
            <w:tcW w:w="3414" w:type="dxa"/>
            <w:shd w:val="clear" w:color="auto" w:fill="auto"/>
            <w:vAlign w:val="center"/>
          </w:tcPr>
          <w:p>
            <w:pPr>
              <w:spacing w:line="240" w:lineRule="auto"/>
              <w:rPr>
                <w:rFonts w:ascii="仿宋" w:hAnsi="仿宋"/>
                <w:sz w:val="24"/>
                <w:szCs w:val="24"/>
              </w:rPr>
            </w:pPr>
            <w:r>
              <w:rPr>
                <w:rFonts w:hint="eastAsia" w:ascii="仿宋" w:hAnsi="仿宋"/>
                <w:sz w:val="24"/>
                <w:szCs w:val="24"/>
              </w:rPr>
              <w:t>实习课学习满意度</w:t>
            </w:r>
          </w:p>
        </w:tc>
        <w:tc>
          <w:tcPr>
            <w:tcW w:w="1455" w:type="dxa"/>
            <w:shd w:val="clear" w:color="auto" w:fill="auto"/>
            <w:vAlign w:val="center"/>
          </w:tcPr>
          <w:p>
            <w:pPr>
              <w:spacing w:line="240" w:lineRule="auto"/>
              <w:jc w:val="center"/>
              <w:rPr>
                <w:rFonts w:ascii="仿宋" w:hAnsi="仿宋"/>
                <w:sz w:val="24"/>
                <w:szCs w:val="24"/>
                <w:highlight w:val="none"/>
              </w:rPr>
            </w:pPr>
            <w:r>
              <w:rPr>
                <w:rFonts w:ascii="仿宋" w:hAnsi="仿宋"/>
                <w:sz w:val="24"/>
                <w:szCs w:val="24"/>
                <w:highlight w:val="none"/>
              </w:rPr>
              <w:t>79.28</w:t>
            </w:r>
          </w:p>
        </w:tc>
        <w:tc>
          <w:tcPr>
            <w:tcW w:w="1320" w:type="dxa"/>
            <w:shd w:val="clear" w:color="auto" w:fill="auto"/>
            <w:vAlign w:val="center"/>
          </w:tcPr>
          <w:p>
            <w:pPr>
              <w:spacing w:line="240" w:lineRule="auto"/>
              <w:jc w:val="center"/>
              <w:rPr>
                <w:rFonts w:ascii="仿宋" w:hAnsi="仿宋"/>
                <w:sz w:val="24"/>
                <w:szCs w:val="24"/>
                <w:highlight w:val="none"/>
              </w:rPr>
            </w:pPr>
            <w:r>
              <w:rPr>
                <w:rFonts w:ascii="宋体" w:hAnsi="宋体" w:eastAsia="宋体"/>
                <w:sz w:val="24"/>
                <w:szCs w:val="24"/>
                <w:highlight w:val="none"/>
              </w:rPr>
              <w:t>18.12</w:t>
            </w:r>
          </w:p>
        </w:tc>
        <w:tc>
          <w:tcPr>
            <w:tcW w:w="1350" w:type="dxa"/>
            <w:shd w:val="clear" w:color="auto" w:fill="auto"/>
            <w:vAlign w:val="center"/>
          </w:tcPr>
          <w:p>
            <w:pPr>
              <w:spacing w:line="240" w:lineRule="auto"/>
              <w:jc w:val="center"/>
              <w:rPr>
                <w:rFonts w:ascii="仿宋" w:hAnsi="仿宋"/>
                <w:sz w:val="24"/>
                <w:szCs w:val="24"/>
                <w:highlight w:val="none"/>
              </w:rPr>
            </w:pPr>
            <w:r>
              <w:rPr>
                <w:rFonts w:ascii="宋体" w:hAnsi="宋体" w:eastAsia="宋体"/>
                <w:sz w:val="24"/>
                <w:szCs w:val="24"/>
                <w:highlight w:val="none"/>
              </w:rPr>
              <w:t>1.32</w:t>
            </w:r>
          </w:p>
        </w:tc>
        <w:tc>
          <w:tcPr>
            <w:tcW w:w="1395" w:type="dxa"/>
            <w:shd w:val="clear" w:color="auto" w:fill="auto"/>
            <w:vAlign w:val="center"/>
          </w:tcPr>
          <w:p>
            <w:pPr>
              <w:spacing w:line="240" w:lineRule="auto"/>
              <w:jc w:val="center"/>
              <w:rPr>
                <w:rFonts w:ascii="仿宋" w:hAnsi="仿宋"/>
                <w:sz w:val="24"/>
                <w:szCs w:val="24"/>
                <w:highlight w:val="none"/>
              </w:rPr>
            </w:pPr>
            <w:r>
              <w:rPr>
                <w:rFonts w:ascii="宋体" w:hAnsi="宋体" w:eastAsia="宋体"/>
                <w:sz w:val="24"/>
                <w:szCs w:val="24"/>
                <w:highlight w:val="none"/>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 w:hRule="atLeast"/>
          <w:jc w:val="center"/>
        </w:trPr>
        <w:tc>
          <w:tcPr>
            <w:tcW w:w="3414" w:type="dxa"/>
            <w:shd w:val="clear" w:color="auto" w:fill="auto"/>
            <w:vAlign w:val="center"/>
          </w:tcPr>
          <w:p>
            <w:pPr>
              <w:spacing w:line="240" w:lineRule="auto"/>
              <w:rPr>
                <w:rFonts w:ascii="仿宋" w:hAnsi="仿宋"/>
                <w:sz w:val="24"/>
                <w:szCs w:val="24"/>
              </w:rPr>
            </w:pPr>
            <w:r>
              <w:rPr>
                <w:rFonts w:hint="eastAsia" w:ascii="仿宋" w:hAnsi="仿宋"/>
                <w:sz w:val="24"/>
                <w:szCs w:val="24"/>
              </w:rPr>
              <w:t>专业课满意度</w:t>
            </w:r>
          </w:p>
        </w:tc>
        <w:tc>
          <w:tcPr>
            <w:tcW w:w="1455" w:type="dxa"/>
            <w:shd w:val="clear" w:color="auto" w:fill="auto"/>
            <w:vAlign w:val="center"/>
          </w:tcPr>
          <w:p>
            <w:pPr>
              <w:spacing w:line="240" w:lineRule="auto"/>
              <w:jc w:val="center"/>
              <w:rPr>
                <w:rFonts w:ascii="仿宋" w:hAnsi="仿宋"/>
                <w:sz w:val="24"/>
                <w:szCs w:val="24"/>
              </w:rPr>
            </w:pPr>
            <w:r>
              <w:rPr>
                <w:rFonts w:ascii="仿宋" w:hAnsi="仿宋"/>
                <w:sz w:val="24"/>
                <w:szCs w:val="24"/>
              </w:rPr>
              <w:t>75.62</w:t>
            </w:r>
          </w:p>
        </w:tc>
        <w:tc>
          <w:tcPr>
            <w:tcW w:w="1320" w:type="dxa"/>
            <w:shd w:val="clear" w:color="auto" w:fill="auto"/>
            <w:vAlign w:val="center"/>
          </w:tcPr>
          <w:p>
            <w:pPr>
              <w:spacing w:line="240" w:lineRule="auto"/>
              <w:jc w:val="center"/>
              <w:rPr>
                <w:rFonts w:ascii="仿宋" w:hAnsi="仿宋"/>
                <w:sz w:val="24"/>
                <w:szCs w:val="24"/>
              </w:rPr>
            </w:pPr>
            <w:r>
              <w:rPr>
                <w:rFonts w:ascii="宋体" w:hAnsi="宋体" w:eastAsia="宋体"/>
                <w:sz w:val="24"/>
                <w:szCs w:val="24"/>
              </w:rPr>
              <w:t>22.81</w:t>
            </w:r>
          </w:p>
        </w:tc>
        <w:tc>
          <w:tcPr>
            <w:tcW w:w="1350" w:type="dxa"/>
            <w:shd w:val="clear" w:color="auto" w:fill="auto"/>
            <w:vAlign w:val="center"/>
          </w:tcPr>
          <w:p>
            <w:pPr>
              <w:spacing w:line="240" w:lineRule="auto"/>
              <w:jc w:val="center"/>
              <w:rPr>
                <w:rFonts w:ascii="仿宋" w:hAnsi="仿宋"/>
                <w:sz w:val="24"/>
                <w:szCs w:val="24"/>
              </w:rPr>
            </w:pPr>
            <w:r>
              <w:rPr>
                <w:rFonts w:ascii="宋体" w:hAnsi="宋体" w:eastAsia="宋体"/>
                <w:sz w:val="24"/>
                <w:szCs w:val="24"/>
              </w:rPr>
              <w:t>1.56</w:t>
            </w:r>
          </w:p>
        </w:tc>
        <w:tc>
          <w:tcPr>
            <w:tcW w:w="1395" w:type="dxa"/>
            <w:shd w:val="clear" w:color="auto" w:fill="auto"/>
            <w:vAlign w:val="center"/>
          </w:tcPr>
          <w:p>
            <w:pPr>
              <w:spacing w:line="240" w:lineRule="auto"/>
              <w:jc w:val="center"/>
              <w:rPr>
                <w:rFonts w:ascii="仿宋" w:hAnsi="仿宋"/>
                <w:sz w:val="24"/>
                <w:szCs w:val="24"/>
              </w:rPr>
            </w:pPr>
            <w:r>
              <w:rPr>
                <w:rFonts w:hint="eastAsia" w:ascii="宋体" w:hAnsi="宋体" w:eastAsia="宋体"/>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4" w:type="dxa"/>
            <w:shd w:val="clear" w:color="auto" w:fill="auto"/>
            <w:vAlign w:val="center"/>
          </w:tcPr>
          <w:p>
            <w:pPr>
              <w:spacing w:line="240" w:lineRule="auto"/>
              <w:rPr>
                <w:rFonts w:ascii="仿宋" w:hAnsi="仿宋"/>
                <w:sz w:val="24"/>
                <w:szCs w:val="24"/>
              </w:rPr>
            </w:pPr>
            <w:r>
              <w:rPr>
                <w:rFonts w:hint="eastAsia" w:ascii="仿宋" w:hAnsi="仿宋"/>
                <w:sz w:val="24"/>
                <w:szCs w:val="24"/>
              </w:rPr>
              <w:t>理论课学习满意度</w:t>
            </w:r>
          </w:p>
        </w:tc>
        <w:tc>
          <w:tcPr>
            <w:tcW w:w="1455" w:type="dxa"/>
            <w:shd w:val="clear" w:color="auto" w:fill="auto"/>
            <w:vAlign w:val="center"/>
          </w:tcPr>
          <w:p>
            <w:pPr>
              <w:spacing w:line="240" w:lineRule="auto"/>
              <w:jc w:val="center"/>
              <w:rPr>
                <w:rFonts w:ascii="仿宋" w:hAnsi="仿宋"/>
                <w:sz w:val="24"/>
                <w:szCs w:val="24"/>
              </w:rPr>
            </w:pPr>
            <w:r>
              <w:rPr>
                <w:rFonts w:ascii="仿宋" w:hAnsi="仿宋"/>
                <w:sz w:val="24"/>
                <w:szCs w:val="24"/>
              </w:rPr>
              <w:t>8</w:t>
            </w:r>
            <w:r>
              <w:rPr>
                <w:rFonts w:hint="eastAsia" w:ascii="仿宋" w:hAnsi="仿宋"/>
                <w:sz w:val="24"/>
                <w:szCs w:val="24"/>
              </w:rPr>
              <w:t>3.43</w:t>
            </w:r>
          </w:p>
        </w:tc>
        <w:tc>
          <w:tcPr>
            <w:tcW w:w="1320" w:type="dxa"/>
            <w:shd w:val="clear" w:color="auto" w:fill="auto"/>
            <w:vAlign w:val="center"/>
          </w:tcPr>
          <w:p>
            <w:pPr>
              <w:spacing w:line="240" w:lineRule="auto"/>
              <w:jc w:val="center"/>
              <w:rPr>
                <w:rFonts w:ascii="仿宋" w:hAnsi="仿宋"/>
                <w:sz w:val="24"/>
                <w:szCs w:val="24"/>
              </w:rPr>
            </w:pPr>
            <w:r>
              <w:rPr>
                <w:rFonts w:ascii="仿宋" w:hAnsi="仿宋"/>
                <w:sz w:val="24"/>
                <w:szCs w:val="24"/>
              </w:rPr>
              <w:t>15</w:t>
            </w:r>
          </w:p>
        </w:tc>
        <w:tc>
          <w:tcPr>
            <w:tcW w:w="1350" w:type="dxa"/>
            <w:shd w:val="clear" w:color="auto" w:fill="auto"/>
            <w:vAlign w:val="center"/>
          </w:tcPr>
          <w:p>
            <w:pPr>
              <w:spacing w:line="240" w:lineRule="auto"/>
              <w:jc w:val="center"/>
              <w:rPr>
                <w:rFonts w:ascii="仿宋" w:hAnsi="仿宋"/>
                <w:sz w:val="24"/>
                <w:szCs w:val="24"/>
              </w:rPr>
            </w:pPr>
            <w:r>
              <w:rPr>
                <w:rFonts w:ascii="仿宋" w:hAnsi="仿宋"/>
                <w:sz w:val="24"/>
                <w:szCs w:val="24"/>
              </w:rPr>
              <w:t>1.56</w:t>
            </w:r>
          </w:p>
        </w:tc>
        <w:tc>
          <w:tcPr>
            <w:tcW w:w="1395" w:type="dxa"/>
            <w:shd w:val="clear" w:color="auto" w:fill="auto"/>
            <w:vAlign w:val="center"/>
          </w:tcPr>
          <w:p>
            <w:pPr>
              <w:spacing w:line="240" w:lineRule="auto"/>
              <w:jc w:val="center"/>
              <w:rPr>
                <w:rFonts w:ascii="仿宋" w:hAnsi="仿宋"/>
                <w:sz w:val="24"/>
                <w:szCs w:val="24"/>
              </w:rPr>
            </w:pPr>
            <w:r>
              <w:rPr>
                <w:rFonts w:ascii="仿宋" w:hAnsi="仿宋"/>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8" w:hRule="atLeast"/>
          <w:jc w:val="center"/>
        </w:trPr>
        <w:tc>
          <w:tcPr>
            <w:tcW w:w="3414" w:type="dxa"/>
            <w:shd w:val="clear" w:color="auto" w:fill="auto"/>
          </w:tcPr>
          <w:p>
            <w:pPr>
              <w:spacing w:line="240" w:lineRule="auto"/>
              <w:rPr>
                <w:rFonts w:ascii="仿宋" w:hAnsi="仿宋"/>
                <w:sz w:val="24"/>
                <w:szCs w:val="24"/>
              </w:rPr>
            </w:pPr>
            <w:r>
              <w:rPr>
                <w:rFonts w:hint="eastAsia" w:ascii="仿宋" w:hAnsi="仿宋"/>
                <w:sz w:val="24"/>
                <w:szCs w:val="24"/>
              </w:rPr>
              <w:t>校园文化与社团活动满意度</w:t>
            </w:r>
          </w:p>
        </w:tc>
        <w:tc>
          <w:tcPr>
            <w:tcW w:w="1455" w:type="dxa"/>
            <w:shd w:val="clear" w:color="auto" w:fill="auto"/>
            <w:vAlign w:val="center"/>
          </w:tcPr>
          <w:p>
            <w:pPr>
              <w:widowControl/>
              <w:spacing w:line="240" w:lineRule="auto"/>
              <w:jc w:val="center"/>
              <w:textAlignment w:val="center"/>
              <w:rPr>
                <w:rFonts w:ascii="仿宋" w:hAnsi="仿宋"/>
                <w:sz w:val="24"/>
                <w:szCs w:val="24"/>
              </w:rPr>
            </w:pPr>
            <w:r>
              <w:rPr>
                <w:rFonts w:ascii="仿宋" w:hAnsi="仿宋"/>
                <w:sz w:val="24"/>
                <w:szCs w:val="24"/>
              </w:rPr>
              <w:t>7</w:t>
            </w:r>
            <w:r>
              <w:rPr>
                <w:rFonts w:hint="eastAsia" w:ascii="仿宋" w:hAnsi="仿宋"/>
                <w:sz w:val="24"/>
                <w:szCs w:val="24"/>
              </w:rPr>
              <w:t>4.06</w:t>
            </w:r>
          </w:p>
        </w:tc>
        <w:tc>
          <w:tcPr>
            <w:tcW w:w="1320" w:type="dxa"/>
            <w:shd w:val="clear" w:color="auto" w:fill="auto"/>
            <w:vAlign w:val="center"/>
          </w:tcPr>
          <w:p>
            <w:pPr>
              <w:widowControl/>
              <w:spacing w:line="240" w:lineRule="auto"/>
              <w:jc w:val="center"/>
              <w:textAlignment w:val="center"/>
              <w:rPr>
                <w:rFonts w:ascii="仿宋" w:hAnsi="仿宋"/>
                <w:sz w:val="24"/>
                <w:szCs w:val="24"/>
              </w:rPr>
            </w:pPr>
            <w:r>
              <w:rPr>
                <w:rFonts w:ascii="仿宋" w:hAnsi="仿宋"/>
                <w:sz w:val="24"/>
                <w:szCs w:val="24"/>
              </w:rPr>
              <w:t>13.43</w:t>
            </w:r>
          </w:p>
        </w:tc>
        <w:tc>
          <w:tcPr>
            <w:tcW w:w="1350" w:type="dxa"/>
            <w:shd w:val="clear" w:color="auto" w:fill="auto"/>
            <w:vAlign w:val="center"/>
          </w:tcPr>
          <w:p>
            <w:pPr>
              <w:widowControl/>
              <w:spacing w:line="240" w:lineRule="auto"/>
              <w:jc w:val="center"/>
              <w:textAlignment w:val="center"/>
              <w:rPr>
                <w:rFonts w:ascii="仿宋" w:hAnsi="仿宋"/>
                <w:sz w:val="24"/>
                <w:szCs w:val="24"/>
              </w:rPr>
            </w:pPr>
            <w:r>
              <w:rPr>
                <w:rFonts w:ascii="仿宋" w:hAnsi="仿宋"/>
                <w:sz w:val="24"/>
                <w:szCs w:val="24"/>
              </w:rPr>
              <w:t>9.37</w:t>
            </w:r>
          </w:p>
        </w:tc>
        <w:tc>
          <w:tcPr>
            <w:tcW w:w="1395" w:type="dxa"/>
            <w:shd w:val="clear" w:color="auto" w:fill="auto"/>
            <w:vAlign w:val="center"/>
          </w:tcPr>
          <w:p>
            <w:pPr>
              <w:widowControl/>
              <w:spacing w:line="240" w:lineRule="auto"/>
              <w:jc w:val="center"/>
              <w:textAlignment w:val="center"/>
              <w:rPr>
                <w:rFonts w:ascii="仿宋" w:hAnsi="仿宋"/>
                <w:sz w:val="24"/>
                <w:szCs w:val="24"/>
              </w:rPr>
            </w:pPr>
            <w:r>
              <w:rPr>
                <w:rFonts w:ascii="仿宋" w:hAnsi="仿宋"/>
                <w:sz w:val="24"/>
                <w:szCs w:val="24"/>
              </w:rPr>
              <w:t>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 w:hRule="atLeast"/>
          <w:jc w:val="center"/>
        </w:trPr>
        <w:tc>
          <w:tcPr>
            <w:tcW w:w="3414" w:type="dxa"/>
            <w:shd w:val="clear" w:color="auto" w:fill="auto"/>
          </w:tcPr>
          <w:p>
            <w:pPr>
              <w:spacing w:line="240" w:lineRule="auto"/>
              <w:rPr>
                <w:rFonts w:ascii="仿宋" w:hAnsi="仿宋"/>
                <w:sz w:val="24"/>
                <w:szCs w:val="24"/>
              </w:rPr>
            </w:pPr>
            <w:r>
              <w:rPr>
                <w:rFonts w:hint="eastAsia" w:ascii="仿宋" w:hAnsi="仿宋"/>
                <w:sz w:val="24"/>
                <w:szCs w:val="24"/>
              </w:rPr>
              <w:t>生活满意度</w:t>
            </w:r>
          </w:p>
        </w:tc>
        <w:tc>
          <w:tcPr>
            <w:tcW w:w="1455" w:type="dxa"/>
            <w:shd w:val="clear" w:color="auto" w:fill="auto"/>
            <w:vAlign w:val="center"/>
          </w:tcPr>
          <w:p>
            <w:pPr>
              <w:widowControl/>
              <w:spacing w:line="240" w:lineRule="auto"/>
              <w:jc w:val="center"/>
              <w:textAlignment w:val="center"/>
              <w:rPr>
                <w:rFonts w:ascii="仿宋" w:hAnsi="仿宋"/>
                <w:sz w:val="24"/>
                <w:szCs w:val="24"/>
              </w:rPr>
            </w:pPr>
            <w:r>
              <w:rPr>
                <w:rFonts w:ascii="仿宋" w:hAnsi="仿宋"/>
                <w:sz w:val="24"/>
                <w:szCs w:val="24"/>
              </w:rPr>
              <w:t>7</w:t>
            </w:r>
            <w:r>
              <w:rPr>
                <w:rFonts w:hint="eastAsia" w:ascii="仿宋" w:hAnsi="仿宋"/>
                <w:sz w:val="24"/>
                <w:szCs w:val="24"/>
              </w:rPr>
              <w:t>6.25</w:t>
            </w:r>
          </w:p>
        </w:tc>
        <w:tc>
          <w:tcPr>
            <w:tcW w:w="1320" w:type="dxa"/>
            <w:shd w:val="clear" w:color="auto" w:fill="auto"/>
            <w:vAlign w:val="center"/>
          </w:tcPr>
          <w:p>
            <w:pPr>
              <w:widowControl/>
              <w:spacing w:line="240" w:lineRule="auto"/>
              <w:jc w:val="center"/>
              <w:textAlignment w:val="center"/>
              <w:rPr>
                <w:rFonts w:ascii="仿宋" w:hAnsi="仿宋"/>
                <w:sz w:val="24"/>
                <w:szCs w:val="24"/>
              </w:rPr>
            </w:pPr>
            <w:r>
              <w:rPr>
                <w:rFonts w:ascii="仿宋" w:hAnsi="仿宋"/>
                <w:sz w:val="24"/>
                <w:szCs w:val="24"/>
              </w:rPr>
              <w:t>15</w:t>
            </w:r>
          </w:p>
        </w:tc>
        <w:tc>
          <w:tcPr>
            <w:tcW w:w="1350" w:type="dxa"/>
            <w:shd w:val="clear" w:color="auto" w:fill="auto"/>
            <w:vAlign w:val="center"/>
          </w:tcPr>
          <w:p>
            <w:pPr>
              <w:widowControl/>
              <w:spacing w:line="240" w:lineRule="auto"/>
              <w:jc w:val="center"/>
              <w:textAlignment w:val="center"/>
              <w:rPr>
                <w:rFonts w:ascii="仿宋" w:hAnsi="仿宋"/>
                <w:sz w:val="24"/>
                <w:szCs w:val="24"/>
              </w:rPr>
            </w:pPr>
            <w:r>
              <w:rPr>
                <w:rFonts w:ascii="仿宋" w:hAnsi="仿宋"/>
                <w:sz w:val="24"/>
                <w:szCs w:val="24"/>
              </w:rPr>
              <w:t>5.62</w:t>
            </w:r>
          </w:p>
        </w:tc>
        <w:tc>
          <w:tcPr>
            <w:tcW w:w="1395" w:type="dxa"/>
            <w:shd w:val="clear" w:color="auto" w:fill="auto"/>
            <w:vAlign w:val="center"/>
          </w:tcPr>
          <w:p>
            <w:pPr>
              <w:widowControl/>
              <w:spacing w:line="240" w:lineRule="auto"/>
              <w:jc w:val="center"/>
              <w:textAlignment w:val="center"/>
              <w:rPr>
                <w:rFonts w:ascii="仿宋" w:hAnsi="仿宋"/>
                <w:sz w:val="24"/>
                <w:szCs w:val="24"/>
              </w:rPr>
            </w:pPr>
            <w:r>
              <w:rPr>
                <w:rFonts w:ascii="仿宋" w:hAnsi="仿宋"/>
                <w:sz w:val="24"/>
                <w:szCs w:val="24"/>
              </w:rPr>
              <w:t>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4" w:type="dxa"/>
            <w:shd w:val="clear" w:color="auto" w:fill="auto"/>
          </w:tcPr>
          <w:p>
            <w:pPr>
              <w:spacing w:line="240" w:lineRule="auto"/>
              <w:rPr>
                <w:rFonts w:ascii="仿宋" w:hAnsi="仿宋"/>
                <w:sz w:val="24"/>
                <w:szCs w:val="24"/>
              </w:rPr>
            </w:pPr>
            <w:r>
              <w:rPr>
                <w:rFonts w:hint="eastAsia" w:ascii="仿宋" w:hAnsi="仿宋"/>
                <w:sz w:val="24"/>
                <w:szCs w:val="24"/>
              </w:rPr>
              <w:t>校园安全满意度</w:t>
            </w:r>
          </w:p>
        </w:tc>
        <w:tc>
          <w:tcPr>
            <w:tcW w:w="1455" w:type="dxa"/>
            <w:shd w:val="clear" w:color="auto" w:fill="auto"/>
            <w:vAlign w:val="center"/>
          </w:tcPr>
          <w:p>
            <w:pPr>
              <w:widowControl/>
              <w:spacing w:line="240" w:lineRule="auto"/>
              <w:jc w:val="center"/>
              <w:textAlignment w:val="center"/>
              <w:rPr>
                <w:rFonts w:ascii="仿宋" w:hAnsi="仿宋"/>
                <w:sz w:val="24"/>
                <w:szCs w:val="24"/>
              </w:rPr>
            </w:pPr>
            <w:r>
              <w:rPr>
                <w:rFonts w:ascii="仿宋" w:hAnsi="仿宋"/>
                <w:sz w:val="24"/>
                <w:szCs w:val="24"/>
              </w:rPr>
              <w:t>7</w:t>
            </w:r>
            <w:r>
              <w:rPr>
                <w:rFonts w:hint="eastAsia" w:ascii="仿宋" w:hAnsi="仿宋"/>
                <w:sz w:val="24"/>
                <w:szCs w:val="24"/>
              </w:rPr>
              <w:t>7.18</w:t>
            </w:r>
          </w:p>
        </w:tc>
        <w:tc>
          <w:tcPr>
            <w:tcW w:w="1320" w:type="dxa"/>
            <w:shd w:val="clear" w:color="auto" w:fill="auto"/>
            <w:vAlign w:val="center"/>
          </w:tcPr>
          <w:p>
            <w:pPr>
              <w:widowControl/>
              <w:spacing w:line="240" w:lineRule="auto"/>
              <w:jc w:val="center"/>
              <w:textAlignment w:val="center"/>
              <w:rPr>
                <w:rFonts w:ascii="仿宋" w:hAnsi="仿宋"/>
                <w:sz w:val="24"/>
                <w:szCs w:val="24"/>
              </w:rPr>
            </w:pPr>
            <w:r>
              <w:rPr>
                <w:rFonts w:ascii="仿宋" w:hAnsi="仿宋"/>
                <w:sz w:val="24"/>
                <w:szCs w:val="24"/>
              </w:rPr>
              <w:t>13.43</w:t>
            </w:r>
          </w:p>
        </w:tc>
        <w:tc>
          <w:tcPr>
            <w:tcW w:w="1350" w:type="dxa"/>
            <w:shd w:val="clear" w:color="auto" w:fill="auto"/>
            <w:vAlign w:val="center"/>
          </w:tcPr>
          <w:p>
            <w:pPr>
              <w:widowControl/>
              <w:spacing w:line="240" w:lineRule="auto"/>
              <w:jc w:val="center"/>
              <w:textAlignment w:val="center"/>
              <w:rPr>
                <w:rFonts w:ascii="仿宋" w:hAnsi="仿宋"/>
                <w:sz w:val="24"/>
                <w:szCs w:val="24"/>
              </w:rPr>
            </w:pPr>
            <w:r>
              <w:rPr>
                <w:rFonts w:ascii="仿宋" w:hAnsi="仿宋"/>
                <w:sz w:val="24"/>
                <w:szCs w:val="24"/>
              </w:rPr>
              <w:t>7.81</w:t>
            </w:r>
          </w:p>
        </w:tc>
        <w:tc>
          <w:tcPr>
            <w:tcW w:w="1395" w:type="dxa"/>
            <w:shd w:val="clear" w:color="auto" w:fill="auto"/>
            <w:vAlign w:val="center"/>
          </w:tcPr>
          <w:p>
            <w:pPr>
              <w:widowControl/>
              <w:spacing w:line="240" w:lineRule="auto"/>
              <w:jc w:val="center"/>
              <w:textAlignment w:val="center"/>
              <w:rPr>
                <w:rFonts w:ascii="仿宋" w:hAnsi="仿宋"/>
                <w:sz w:val="24"/>
                <w:szCs w:val="24"/>
              </w:rPr>
            </w:pPr>
            <w:r>
              <w:rPr>
                <w:rFonts w:ascii="仿宋" w:hAnsi="仿宋"/>
                <w:sz w:val="24"/>
                <w:szCs w:val="24"/>
              </w:rPr>
              <w:t>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414" w:type="dxa"/>
            <w:shd w:val="clear" w:color="auto" w:fill="auto"/>
          </w:tcPr>
          <w:p>
            <w:pPr>
              <w:spacing w:line="240" w:lineRule="auto"/>
              <w:rPr>
                <w:rFonts w:ascii="仿宋" w:hAnsi="仿宋"/>
                <w:sz w:val="24"/>
                <w:szCs w:val="24"/>
              </w:rPr>
            </w:pPr>
            <w:r>
              <w:rPr>
                <w:rFonts w:hint="eastAsia" w:ascii="仿宋" w:hAnsi="仿宋"/>
                <w:sz w:val="24"/>
                <w:szCs w:val="24"/>
              </w:rPr>
              <w:t>毕业生满意度</w:t>
            </w:r>
          </w:p>
        </w:tc>
        <w:tc>
          <w:tcPr>
            <w:tcW w:w="1455" w:type="dxa"/>
            <w:shd w:val="clear" w:color="auto" w:fill="auto"/>
            <w:vAlign w:val="center"/>
          </w:tcPr>
          <w:p>
            <w:pPr>
              <w:widowControl/>
              <w:spacing w:line="240" w:lineRule="auto"/>
              <w:jc w:val="center"/>
              <w:textAlignment w:val="center"/>
              <w:rPr>
                <w:rFonts w:ascii="仿宋" w:hAnsi="仿宋"/>
                <w:sz w:val="24"/>
                <w:szCs w:val="24"/>
                <w:highlight w:val="none"/>
              </w:rPr>
            </w:pPr>
            <w:r>
              <w:rPr>
                <w:rFonts w:ascii="仿宋" w:hAnsi="仿宋"/>
                <w:sz w:val="24"/>
                <w:szCs w:val="24"/>
                <w:highlight w:val="none"/>
              </w:rPr>
              <w:t>8</w:t>
            </w:r>
            <w:r>
              <w:rPr>
                <w:rFonts w:hint="eastAsia" w:ascii="仿宋" w:hAnsi="仿宋"/>
                <w:sz w:val="24"/>
                <w:szCs w:val="24"/>
                <w:highlight w:val="none"/>
              </w:rPr>
              <w:t>6.56</w:t>
            </w:r>
          </w:p>
        </w:tc>
        <w:tc>
          <w:tcPr>
            <w:tcW w:w="1320" w:type="dxa"/>
            <w:shd w:val="clear" w:color="auto" w:fill="auto"/>
            <w:vAlign w:val="center"/>
          </w:tcPr>
          <w:p>
            <w:pPr>
              <w:widowControl/>
              <w:spacing w:line="240" w:lineRule="auto"/>
              <w:jc w:val="center"/>
              <w:textAlignment w:val="center"/>
              <w:rPr>
                <w:rFonts w:ascii="仿宋" w:hAnsi="仿宋"/>
                <w:sz w:val="24"/>
                <w:szCs w:val="24"/>
                <w:highlight w:val="none"/>
              </w:rPr>
            </w:pPr>
            <w:r>
              <w:rPr>
                <w:rFonts w:ascii="仿宋" w:hAnsi="仿宋"/>
                <w:sz w:val="24"/>
                <w:szCs w:val="24"/>
                <w:highlight w:val="none"/>
              </w:rPr>
              <w:t>11.18</w:t>
            </w:r>
          </w:p>
        </w:tc>
        <w:tc>
          <w:tcPr>
            <w:tcW w:w="1350" w:type="dxa"/>
            <w:shd w:val="clear" w:color="auto" w:fill="auto"/>
            <w:vAlign w:val="center"/>
          </w:tcPr>
          <w:p>
            <w:pPr>
              <w:widowControl/>
              <w:spacing w:line="240" w:lineRule="auto"/>
              <w:jc w:val="center"/>
              <w:textAlignment w:val="center"/>
              <w:rPr>
                <w:rFonts w:ascii="仿宋" w:hAnsi="仿宋"/>
                <w:sz w:val="24"/>
                <w:szCs w:val="24"/>
                <w:highlight w:val="none"/>
              </w:rPr>
            </w:pPr>
            <w:r>
              <w:rPr>
                <w:rFonts w:ascii="仿宋" w:hAnsi="仿宋"/>
                <w:sz w:val="24"/>
                <w:szCs w:val="24"/>
                <w:highlight w:val="none"/>
              </w:rPr>
              <w:t>2.26</w:t>
            </w:r>
          </w:p>
        </w:tc>
        <w:tc>
          <w:tcPr>
            <w:tcW w:w="1395" w:type="dxa"/>
            <w:shd w:val="clear" w:color="auto" w:fill="auto"/>
            <w:vAlign w:val="center"/>
          </w:tcPr>
          <w:p>
            <w:pPr>
              <w:widowControl/>
              <w:spacing w:line="240" w:lineRule="auto"/>
              <w:jc w:val="center"/>
              <w:textAlignment w:val="center"/>
              <w:rPr>
                <w:rFonts w:ascii="仿宋" w:hAnsi="仿宋"/>
                <w:sz w:val="24"/>
                <w:szCs w:val="24"/>
                <w:highlight w:val="none"/>
              </w:rPr>
            </w:pPr>
            <w:r>
              <w:rPr>
                <w:rFonts w:ascii="仿宋" w:hAnsi="仿宋"/>
                <w:sz w:val="24"/>
                <w:szCs w:val="24"/>
                <w:highlight w:val="none"/>
              </w:rPr>
              <w:t>0</w:t>
            </w:r>
          </w:p>
        </w:tc>
      </w:tr>
    </w:tbl>
    <w:p>
      <w:pPr>
        <w:rPr>
          <w:rFonts w:ascii="仿宋" w:hAnsi="仿宋" w:cs="仿宋"/>
          <w:szCs w:val="32"/>
        </w:rPr>
      </w:pPr>
    </w:p>
    <w:p>
      <w:pPr>
        <w:rPr>
          <w:rFonts w:ascii="仿宋" w:hAnsi="仿宋" w:cs="仿宋"/>
          <w:b/>
          <w:szCs w:val="32"/>
        </w:rPr>
      </w:pPr>
      <w:r>
        <w:rPr>
          <w:rFonts w:hint="eastAsia" w:ascii="仿宋" w:hAnsi="仿宋" w:cs="仿宋"/>
          <w:b/>
          <w:szCs w:val="32"/>
        </w:rPr>
        <w:t>2.3资助情况</w:t>
      </w:r>
    </w:p>
    <w:p>
      <w:pPr>
        <w:ind w:firstLine="640"/>
        <w:rPr>
          <w:rFonts w:ascii="仿宋" w:hAnsi="仿宋" w:cs="仿宋"/>
        </w:rPr>
      </w:pPr>
      <w:r>
        <w:rPr>
          <w:rFonts w:hint="eastAsia" w:ascii="仿宋" w:hAnsi="仿宋" w:cs="仿宋"/>
        </w:rPr>
        <w:t>学院严格执行国家、省、市关于学生资助管理工作的相关规定，成立院级学生资助管理工作领导小组，构建院、系、班级三级资助管理体系，全面细致的做好受资助学生的资格审核、数据统计和申报工作，确保国家资助政策惠及每一名受资助学生，努力帮助经济困难学生完成学业。</w:t>
      </w:r>
    </w:p>
    <w:p>
      <w:pPr>
        <w:ind w:firstLine="640"/>
        <w:rPr>
          <w:rFonts w:ascii="仿宋" w:hAnsi="仿宋" w:cs="仿宋"/>
        </w:rPr>
      </w:pPr>
      <w:r>
        <w:rPr>
          <w:rFonts w:hint="eastAsia" w:ascii="仿宋" w:hAnsi="仿宋" w:cs="仿宋"/>
        </w:rPr>
        <w:t>201</w:t>
      </w:r>
      <w:r>
        <w:rPr>
          <w:rFonts w:ascii="仿宋" w:hAnsi="仿宋" w:cs="仿宋"/>
        </w:rPr>
        <w:t>8</w:t>
      </w:r>
      <w:r>
        <w:rPr>
          <w:rFonts w:hint="eastAsia" w:ascii="仿宋" w:hAnsi="仿宋" w:cs="仿宋"/>
        </w:rPr>
        <w:t>年为1</w:t>
      </w:r>
      <w:r>
        <w:rPr>
          <w:rFonts w:ascii="仿宋" w:hAnsi="仿宋" w:cs="仿宋"/>
        </w:rPr>
        <w:t>396</w:t>
      </w:r>
      <w:r>
        <w:rPr>
          <w:rFonts w:hint="eastAsia" w:ascii="仿宋" w:hAnsi="仿宋" w:cs="仿宋"/>
        </w:rPr>
        <w:t>名学生办理减免学费，其中农村户籍学生</w:t>
      </w:r>
      <w:r>
        <w:rPr>
          <w:rFonts w:ascii="仿宋" w:hAnsi="仿宋" w:cs="仿宋"/>
        </w:rPr>
        <w:t>1376</w:t>
      </w:r>
      <w:r>
        <w:rPr>
          <w:rFonts w:hint="eastAsia" w:ascii="仿宋" w:hAnsi="仿宋" w:cs="仿宋"/>
        </w:rPr>
        <w:t>人、城市家庭经济困难学生</w:t>
      </w:r>
      <w:r>
        <w:rPr>
          <w:rFonts w:ascii="仿宋" w:hAnsi="仿宋" w:cs="仿宋"/>
        </w:rPr>
        <w:t>20</w:t>
      </w:r>
      <w:r>
        <w:rPr>
          <w:rFonts w:hint="eastAsia" w:ascii="仿宋" w:hAnsi="仿宋" w:cs="仿宋"/>
        </w:rPr>
        <w:t>人;审核、上报享受国家助学金政策的学生</w:t>
      </w:r>
      <w:r>
        <w:rPr>
          <w:rFonts w:ascii="仿宋" w:hAnsi="仿宋" w:cs="仿宋"/>
        </w:rPr>
        <w:t>182</w:t>
      </w:r>
      <w:r>
        <w:rPr>
          <w:rFonts w:hint="eastAsia" w:ascii="仿宋" w:hAnsi="仿宋" w:cs="仿宋"/>
        </w:rPr>
        <w:t>人。</w:t>
      </w:r>
    </w:p>
    <w:p>
      <w:pPr>
        <w:ind w:firstLine="640"/>
        <w:rPr>
          <w:rFonts w:ascii="仿宋" w:hAnsi="仿宋" w:cs="仿宋"/>
        </w:rPr>
      </w:pPr>
      <w:r>
        <w:rPr>
          <w:rFonts w:hint="eastAsia" w:ascii="仿宋" w:hAnsi="仿宋" w:cs="仿宋"/>
        </w:rPr>
        <w:t>我院与丰田公司合作设立丰田奖学金制度和就业准备金制度。201</w:t>
      </w:r>
      <w:r>
        <w:rPr>
          <w:rFonts w:ascii="仿宋" w:hAnsi="仿宋" w:cs="仿宋"/>
        </w:rPr>
        <w:t>8</w:t>
      </w:r>
      <w:r>
        <w:rPr>
          <w:rFonts w:hint="eastAsia" w:ascii="仿宋" w:hAnsi="仿宋" w:cs="仿宋"/>
        </w:rPr>
        <w:t>年向144名品学兼优的在校生发放丰田奖学金总计42万元人民币，向30名到丰田在华事业体就职的毕业生发放就业准备金总计4.5万元人民币。这些奖励资助政策较好的调动了广大学生勤奋学习和技能成才的积极性，也体现出丰田公司对技能人才培养的大力支持和真诚援助，扩大了学院和丰田公司的社会影响力和美誉度。</w:t>
      </w:r>
    </w:p>
    <w:p>
      <w:pPr>
        <w:rPr>
          <w:rFonts w:ascii="仿宋" w:hAnsi="仿宋" w:cs="仿宋"/>
          <w:b/>
          <w:szCs w:val="32"/>
        </w:rPr>
      </w:pPr>
      <w:r>
        <w:rPr>
          <w:rFonts w:hint="eastAsia" w:ascii="仿宋" w:hAnsi="仿宋" w:cs="仿宋"/>
          <w:b/>
          <w:szCs w:val="32"/>
        </w:rPr>
        <w:t>2.4就业质量</w:t>
      </w:r>
    </w:p>
    <w:p>
      <w:pPr>
        <w:ind w:firstLine="640"/>
        <w:rPr>
          <w:rFonts w:ascii="仿宋" w:hAnsi="仿宋" w:cs="仿宋"/>
        </w:rPr>
      </w:pPr>
      <w:r>
        <w:rPr>
          <w:rFonts w:hint="eastAsia" w:ascii="仿宋" w:hAnsi="仿宋" w:cs="仿宋"/>
        </w:rPr>
        <w:t>学院依托中日合作办学及企业办学优势，学生实习与就业有着独到的优势，确保学生充足的校外实习与就业岗位。集团内企业如：华晨宝马、华晨中华以及华晨旗下企业均成为学生顶岗实习就业的基地。同时，依托丰田</w:t>
      </w:r>
      <w:r>
        <w:rPr>
          <w:rFonts w:hint="eastAsia" w:ascii="仿宋" w:hAnsi="仿宋" w:cs="仿宋"/>
          <w:lang w:eastAsia="zh-CN"/>
        </w:rPr>
        <w:t>汽车</w:t>
      </w:r>
      <w:r>
        <w:rPr>
          <w:rFonts w:hint="eastAsia" w:ascii="仿宋" w:hAnsi="仿宋" w:cs="仿宋"/>
        </w:rPr>
        <w:t>公司日资企业及丰田在华企业为学生提供了实习与就业平台，其中包含安川电机、丰田纺织汽车部件、天津一汽丰田汽车、丰田汽车（常熟）零部件等企业。同时，为提升学生就业质量，培养需求人才，先后与天津汽车模具有限责任公司、科力美汽车动力电池等企业开展校企合作，使学生就业从简单岗位操作向技能型岗位转变，实现学生高质量就业。目前，2018届毕业生受地方经济形势等原因初次就业起薪2000元/月，因岗位不同综合薪资收入2300元/月—5000元/月。</w:t>
      </w:r>
    </w:p>
    <w:p>
      <w:pPr>
        <w:jc w:val="center"/>
        <w:rPr>
          <w:rFonts w:ascii="仿宋" w:hAnsi="仿宋" w:cs="仿宋"/>
          <w:sz w:val="28"/>
          <w:szCs w:val="28"/>
        </w:rPr>
      </w:pPr>
      <w:r>
        <w:rPr>
          <w:rFonts w:hint="eastAsia" w:ascii="仿宋" w:hAnsi="仿宋" w:cs="仿宋"/>
          <w:sz w:val="28"/>
          <w:szCs w:val="28"/>
        </w:rPr>
        <w:t>表</w:t>
      </w:r>
      <w:r>
        <w:rPr>
          <w:rFonts w:hint="eastAsia" w:ascii="仿宋" w:hAnsi="仿宋" w:cs="仿宋"/>
          <w:sz w:val="28"/>
          <w:szCs w:val="28"/>
          <w:lang w:val="en-US" w:eastAsia="zh-CN"/>
        </w:rPr>
        <w:t>7</w:t>
      </w:r>
      <w:r>
        <w:rPr>
          <w:rFonts w:hint="eastAsia" w:ascii="仿宋" w:hAnsi="仿宋" w:cs="仿宋"/>
          <w:sz w:val="28"/>
          <w:szCs w:val="28"/>
        </w:rPr>
        <w:t xml:space="preserve"> 分专业就业情况见下表</w:t>
      </w:r>
    </w:p>
    <w:tbl>
      <w:tblPr>
        <w:tblStyle w:val="12"/>
        <w:tblW w:w="8662" w:type="dxa"/>
        <w:jc w:val="center"/>
        <w:tblInd w:w="0" w:type="dxa"/>
        <w:tblLayout w:type="fixed"/>
        <w:tblCellMar>
          <w:top w:w="15" w:type="dxa"/>
          <w:left w:w="15" w:type="dxa"/>
          <w:bottom w:w="15" w:type="dxa"/>
          <w:right w:w="15" w:type="dxa"/>
        </w:tblCellMar>
      </w:tblPr>
      <w:tblGrid>
        <w:gridCol w:w="704"/>
        <w:gridCol w:w="2729"/>
        <w:gridCol w:w="855"/>
        <w:gridCol w:w="945"/>
        <w:gridCol w:w="878"/>
        <w:gridCol w:w="1275"/>
        <w:gridCol w:w="1276"/>
      </w:tblGrid>
      <w:tr>
        <w:tblPrEx>
          <w:tblLayout w:type="fixed"/>
          <w:tblCellMar>
            <w:top w:w="15" w:type="dxa"/>
            <w:left w:w="15" w:type="dxa"/>
            <w:bottom w:w="15" w:type="dxa"/>
            <w:right w:w="15" w:type="dxa"/>
          </w:tblCellMar>
        </w:tblPrEx>
        <w:trPr>
          <w:trHeight w:val="681"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序号</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专业名称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毕业生</w:t>
            </w:r>
            <w:r>
              <w:rPr>
                <w:rFonts w:ascii="微软雅黑" w:hAnsi="微软雅黑" w:eastAsia="微软雅黑" w:cs="微软雅黑"/>
                <w:b/>
                <w:color w:val="000000"/>
                <w:kern w:val="0"/>
                <w:sz w:val="18"/>
                <w:szCs w:val="18"/>
              </w:rPr>
              <w:br w:type="textWrapping"/>
            </w:r>
            <w:r>
              <w:rPr>
                <w:rFonts w:hint="eastAsia" w:ascii="微软雅黑" w:hAnsi="微软雅黑" w:eastAsia="微软雅黑" w:cs="微软雅黑"/>
                <w:b/>
                <w:color w:val="000000"/>
                <w:kern w:val="0"/>
                <w:sz w:val="18"/>
                <w:szCs w:val="18"/>
              </w:rPr>
              <w:t>人数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就业人数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专业对口</w:t>
            </w:r>
            <w:r>
              <w:rPr>
                <w:rFonts w:ascii="微软雅黑" w:hAnsi="微软雅黑" w:eastAsia="微软雅黑" w:cs="微软雅黑"/>
                <w:b/>
                <w:color w:val="000000"/>
                <w:kern w:val="0"/>
                <w:sz w:val="18"/>
                <w:szCs w:val="18"/>
              </w:rPr>
              <w:br w:type="textWrapping"/>
            </w:r>
            <w:r>
              <w:rPr>
                <w:rFonts w:hint="eastAsia" w:ascii="微软雅黑" w:hAnsi="微软雅黑" w:eastAsia="微软雅黑" w:cs="微软雅黑"/>
                <w:b/>
                <w:color w:val="000000"/>
                <w:kern w:val="0"/>
                <w:sz w:val="18"/>
                <w:szCs w:val="18"/>
              </w:rPr>
              <w:t>人数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专业对口率</w:t>
            </w:r>
            <w:r>
              <w:rPr>
                <w:rFonts w:ascii="微软雅黑" w:hAnsi="微软雅黑" w:eastAsia="微软雅黑" w:cs="微软雅黑"/>
                <w:b/>
                <w:color w:val="000000"/>
                <w:kern w:val="0"/>
                <w:sz w:val="18"/>
                <w:szCs w:val="18"/>
              </w:rPr>
              <w:br w:type="textWrapping"/>
            </w:r>
            <w:r>
              <w:rPr>
                <w:rFonts w:hint="eastAsia" w:ascii="微软雅黑" w:hAnsi="微软雅黑" w:eastAsia="微软雅黑" w:cs="微软雅黑"/>
                <w:b/>
                <w:color w:val="000000"/>
                <w:kern w:val="0"/>
                <w:sz w:val="18"/>
                <w:szCs w:val="18"/>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初次就业率</w:t>
            </w:r>
            <w:r>
              <w:rPr>
                <w:rFonts w:ascii="微软雅黑" w:hAnsi="微软雅黑" w:eastAsia="微软雅黑" w:cs="微软雅黑"/>
                <w:b/>
                <w:color w:val="000000"/>
                <w:kern w:val="0"/>
                <w:sz w:val="18"/>
                <w:szCs w:val="18"/>
              </w:rPr>
              <w:br w:type="textWrapping"/>
            </w:r>
            <w:r>
              <w:rPr>
                <w:rFonts w:hint="eastAsia" w:ascii="微软雅黑" w:hAnsi="微软雅黑" w:eastAsia="微软雅黑" w:cs="微软雅黑"/>
                <w:b/>
                <w:color w:val="000000"/>
                <w:kern w:val="0"/>
                <w:sz w:val="18"/>
                <w:szCs w:val="18"/>
              </w:rPr>
              <w:t>（%）</w:t>
            </w:r>
          </w:p>
        </w:tc>
      </w:tr>
      <w:tr>
        <w:tblPrEx>
          <w:tblLayout w:type="fixed"/>
          <w:tblCellMar>
            <w:top w:w="15" w:type="dxa"/>
            <w:left w:w="15" w:type="dxa"/>
            <w:bottom w:w="15" w:type="dxa"/>
            <w:right w:w="15" w:type="dxa"/>
          </w:tblCellMar>
        </w:tblPrEx>
        <w:trPr>
          <w:trHeight w:val="271"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汽车电器维修（高级工）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43</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90.70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100.00</w:t>
            </w:r>
          </w:p>
        </w:tc>
      </w:tr>
      <w:tr>
        <w:tblPrEx>
          <w:tblLayout w:type="fixed"/>
          <w:tblCellMar>
            <w:top w:w="15" w:type="dxa"/>
            <w:left w:w="15" w:type="dxa"/>
            <w:bottom w:w="15" w:type="dxa"/>
            <w:right w:w="15" w:type="dxa"/>
          </w:tblCellMar>
        </w:tblPrEx>
        <w:trPr>
          <w:trHeight w:val="22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汽车检测（高级工）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29</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55.17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100.00</w:t>
            </w:r>
          </w:p>
        </w:tc>
      </w:tr>
      <w:tr>
        <w:tblPrEx>
          <w:tblLayout w:type="fixed"/>
          <w:tblCellMar>
            <w:top w:w="15" w:type="dxa"/>
            <w:left w:w="15" w:type="dxa"/>
            <w:bottom w:w="15" w:type="dxa"/>
            <w:right w:w="15" w:type="dxa"/>
          </w:tblCellMar>
        </w:tblPrEx>
        <w:trPr>
          <w:trHeight w:val="313"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汽车检测（中级工）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148</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81.46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98.01</w:t>
            </w:r>
          </w:p>
        </w:tc>
      </w:tr>
      <w:tr>
        <w:tblPrEx>
          <w:tblLayout w:type="fixed"/>
          <w:tblCellMar>
            <w:top w:w="15" w:type="dxa"/>
            <w:left w:w="15" w:type="dxa"/>
            <w:bottom w:w="15" w:type="dxa"/>
            <w:right w:w="15" w:type="dxa"/>
          </w:tblCellMar>
        </w:tblPrEx>
        <w:trPr>
          <w:trHeight w:val="121"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汽车制造与装配技术(中级工）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83.72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95.35</w:t>
            </w:r>
          </w:p>
        </w:tc>
      </w:tr>
      <w:tr>
        <w:tblPrEx>
          <w:tblLayout w:type="fixed"/>
          <w:tblCellMar>
            <w:top w:w="15" w:type="dxa"/>
            <w:left w:w="15" w:type="dxa"/>
            <w:bottom w:w="15" w:type="dxa"/>
            <w:right w:w="15" w:type="dxa"/>
          </w:tblCellMar>
        </w:tblPrEx>
        <w:trPr>
          <w:trHeight w:val="5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数控加工（高级工）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87.50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87.50</w:t>
            </w:r>
          </w:p>
        </w:tc>
      </w:tr>
      <w:tr>
        <w:tblPrEx>
          <w:tblLayout w:type="fixed"/>
          <w:tblCellMar>
            <w:top w:w="15" w:type="dxa"/>
            <w:left w:w="15" w:type="dxa"/>
            <w:bottom w:w="15" w:type="dxa"/>
            <w:right w:w="15"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数控加工（中级工）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48</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86.00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96.00</w:t>
            </w:r>
          </w:p>
        </w:tc>
      </w:tr>
      <w:tr>
        <w:tblPrEx>
          <w:tblLayout w:type="fixed"/>
          <w:tblCellMar>
            <w:top w:w="15" w:type="dxa"/>
            <w:left w:w="15" w:type="dxa"/>
            <w:bottom w:w="15" w:type="dxa"/>
            <w:right w:w="15" w:type="dxa"/>
          </w:tblCellMar>
        </w:tblPrEx>
        <w:trPr>
          <w:trHeight w:val="241"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电气自动化设备安装与维修</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70.37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100.00</w:t>
            </w:r>
          </w:p>
        </w:tc>
      </w:tr>
      <w:tr>
        <w:tblPrEx>
          <w:tblLayout w:type="fixed"/>
          <w:tblCellMar>
            <w:top w:w="15" w:type="dxa"/>
            <w:left w:w="15" w:type="dxa"/>
            <w:bottom w:w="15" w:type="dxa"/>
            <w:right w:w="15" w:type="dxa"/>
          </w:tblCellMar>
        </w:tblPrEx>
        <w:trPr>
          <w:trHeight w:val="272"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机电设备维修</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84.00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100.00</w:t>
            </w:r>
          </w:p>
        </w:tc>
      </w:tr>
      <w:tr>
        <w:tblPrEx>
          <w:tblLayout w:type="fixed"/>
          <w:tblCellMar>
            <w:top w:w="15" w:type="dxa"/>
            <w:left w:w="15" w:type="dxa"/>
            <w:bottom w:w="15" w:type="dxa"/>
            <w:right w:w="15" w:type="dxa"/>
          </w:tblCellMar>
        </w:tblPrEx>
        <w:trPr>
          <w:trHeight w:val="13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模具制造（中级工）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42.86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85.71</w:t>
            </w:r>
          </w:p>
        </w:tc>
      </w:tr>
      <w:tr>
        <w:tblPrEx>
          <w:tblLayout w:type="fixed"/>
          <w:tblCellMar>
            <w:top w:w="15" w:type="dxa"/>
            <w:left w:w="15" w:type="dxa"/>
            <w:bottom w:w="15" w:type="dxa"/>
            <w:right w:w="15" w:type="dxa"/>
          </w:tblCellMar>
        </w:tblPrEx>
        <w:trPr>
          <w:trHeight w:val="49" w:hRule="atLeast"/>
          <w:jc w:val="center"/>
        </w:trPr>
        <w:tc>
          <w:tcPr>
            <w:tcW w:w="3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合  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b/>
                <w:color w:val="000000"/>
                <w:kern w:val="0"/>
                <w:sz w:val="18"/>
                <w:szCs w:val="18"/>
              </w:rPr>
            </w:pPr>
            <w:r>
              <w:rPr>
                <w:rFonts w:hint="eastAsia" w:ascii="微软雅黑" w:hAnsi="微软雅黑" w:eastAsia="微软雅黑" w:cs="微软雅黑"/>
                <w:b/>
                <w:color w:val="000000"/>
                <w:kern w:val="0"/>
                <w:sz w:val="18"/>
                <w:szCs w:val="18"/>
              </w:rPr>
              <w:t>426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b/>
                <w:color w:val="000000"/>
                <w:kern w:val="0"/>
                <w:sz w:val="18"/>
                <w:szCs w:val="18"/>
              </w:rPr>
            </w:pPr>
            <w:r>
              <w:rPr>
                <w:rFonts w:hint="eastAsia" w:ascii="微软雅黑" w:hAnsi="微软雅黑" w:eastAsia="微软雅黑" w:cs="微软雅黑"/>
                <w:b/>
                <w:color w:val="000000"/>
                <w:kern w:val="0"/>
                <w:sz w:val="18"/>
                <w:szCs w:val="18"/>
              </w:rPr>
              <w:t>415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b/>
                <w:color w:val="000000"/>
                <w:kern w:val="0"/>
                <w:sz w:val="18"/>
                <w:szCs w:val="18"/>
              </w:rPr>
            </w:pPr>
            <w:r>
              <w:rPr>
                <w:rFonts w:hint="eastAsia" w:ascii="微软雅黑" w:hAnsi="微软雅黑" w:eastAsia="微软雅黑" w:cs="微软雅黑"/>
                <w:b/>
                <w:color w:val="000000"/>
                <w:kern w:val="0"/>
                <w:sz w:val="18"/>
                <w:szCs w:val="18"/>
              </w:rPr>
              <w:t>343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b/>
                <w:color w:val="000000"/>
                <w:kern w:val="0"/>
                <w:sz w:val="18"/>
                <w:szCs w:val="18"/>
              </w:rPr>
            </w:pPr>
            <w:r>
              <w:rPr>
                <w:rFonts w:hint="eastAsia" w:ascii="微软雅黑" w:hAnsi="微软雅黑" w:eastAsia="微软雅黑" w:cs="微软雅黑"/>
                <w:b/>
                <w:color w:val="000000"/>
                <w:kern w:val="0"/>
                <w:sz w:val="18"/>
                <w:szCs w:val="18"/>
              </w:rPr>
              <w:t>80.52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微软雅黑" w:hAnsi="微软雅黑" w:eastAsia="微软雅黑" w:cs="微软雅黑"/>
                <w:b/>
                <w:color w:val="000000"/>
                <w:kern w:val="0"/>
                <w:sz w:val="18"/>
                <w:szCs w:val="18"/>
              </w:rPr>
            </w:pPr>
            <w:r>
              <w:rPr>
                <w:rFonts w:hint="eastAsia" w:ascii="微软雅黑" w:hAnsi="微软雅黑" w:eastAsia="微软雅黑" w:cs="微软雅黑"/>
                <w:b/>
                <w:color w:val="000000"/>
                <w:kern w:val="0"/>
                <w:sz w:val="18"/>
                <w:szCs w:val="18"/>
              </w:rPr>
              <w:t>97.42</w:t>
            </w:r>
          </w:p>
        </w:tc>
      </w:tr>
    </w:tbl>
    <w:p>
      <w:pPr>
        <w:rPr>
          <w:rFonts w:ascii="微软雅黑" w:hAnsi="微软雅黑" w:eastAsia="微软雅黑" w:cs="微软雅黑"/>
          <w:sz w:val="18"/>
          <w:szCs w:val="18"/>
        </w:rPr>
      </w:pPr>
    </w:p>
    <w:p>
      <w:pPr>
        <w:ind w:firstLine="640"/>
        <w:rPr>
          <w:rFonts w:ascii="仿宋" w:hAnsi="仿宋" w:cs="仿宋"/>
        </w:rPr>
      </w:pPr>
      <w:r>
        <w:rPr>
          <w:rFonts w:hint="eastAsia" w:ascii="仿宋" w:hAnsi="仿宋" w:cs="仿宋"/>
        </w:rPr>
        <w:t>2018届毕业生数</w:t>
      </w:r>
      <w:r>
        <w:rPr>
          <w:rFonts w:hint="eastAsia" w:ascii="仿宋" w:hAnsi="仿宋" w:cs="仿宋"/>
          <w:lang w:val="en-US" w:eastAsia="zh-CN"/>
        </w:rPr>
        <w:t>714</w:t>
      </w:r>
      <w:r>
        <w:rPr>
          <w:rFonts w:hint="eastAsia" w:ascii="仿宋" w:hAnsi="仿宋" w:cs="仿宋"/>
        </w:rPr>
        <w:t>人，</w:t>
      </w:r>
      <w:r>
        <w:rPr>
          <w:rFonts w:hint="eastAsia" w:ascii="仿宋" w:hAnsi="仿宋" w:cs="仿宋"/>
          <w:lang w:val="en-US" w:eastAsia="zh-CN"/>
        </w:rPr>
        <w:t>426</w:t>
      </w:r>
      <w:r>
        <w:rPr>
          <w:rFonts w:hint="eastAsia" w:ascii="仿宋" w:hAnsi="仿宋" w:cs="仿宋"/>
        </w:rPr>
        <w:t>人为就业班</w:t>
      </w:r>
      <w:r>
        <w:rPr>
          <w:rFonts w:hint="eastAsia" w:ascii="仿宋" w:hAnsi="仿宋" w:cs="仿宋"/>
          <w:lang w:eastAsia="zh-CN"/>
        </w:rPr>
        <w:t>，</w:t>
      </w:r>
      <w:r>
        <w:rPr>
          <w:rFonts w:hint="eastAsia" w:ascii="仿宋" w:hAnsi="仿宋" w:cs="仿宋"/>
          <w:highlight w:val="none"/>
        </w:rPr>
        <w:t>5</w:t>
      </w:r>
      <w:r>
        <w:rPr>
          <w:rFonts w:ascii="仿宋" w:hAnsi="仿宋" w:cs="仿宋"/>
          <w:highlight w:val="none"/>
        </w:rPr>
        <w:t>5人为</w:t>
      </w:r>
      <w:r>
        <w:rPr>
          <w:rFonts w:hint="eastAsia" w:ascii="仿宋" w:hAnsi="仿宋" w:cs="仿宋"/>
          <w:highlight w:val="none"/>
          <w:lang w:val="en-US" w:eastAsia="zh-CN"/>
        </w:rPr>
        <w:t>3+2</w:t>
      </w:r>
      <w:r>
        <w:rPr>
          <w:rFonts w:hint="eastAsia" w:ascii="仿宋" w:hAnsi="仿宋" w:cs="仿宋"/>
          <w:highlight w:val="none"/>
        </w:rPr>
        <w:t>高级工班，1</w:t>
      </w:r>
      <w:r>
        <w:rPr>
          <w:rFonts w:ascii="仿宋" w:hAnsi="仿宋" w:cs="仿宋"/>
          <w:highlight w:val="none"/>
        </w:rPr>
        <w:t>9人为春招班</w:t>
      </w:r>
      <w:r>
        <w:rPr>
          <w:rFonts w:hint="eastAsia" w:ascii="仿宋" w:hAnsi="仿宋" w:cs="仿宋"/>
          <w:highlight w:val="none"/>
        </w:rPr>
        <w:t>，</w:t>
      </w:r>
      <w:r>
        <w:rPr>
          <w:rFonts w:hint="eastAsia" w:ascii="仿宋" w:hAnsi="仿宋" w:cs="仿宋"/>
        </w:rPr>
        <w:t>升学班214人。其中升学班学生中有19</w:t>
      </w:r>
      <w:r>
        <w:rPr>
          <w:rFonts w:hint="eastAsia" w:ascii="仿宋" w:hAnsi="仿宋" w:cs="仿宋"/>
          <w:lang w:val="en-US" w:eastAsia="zh-CN"/>
        </w:rPr>
        <w:t>3</w:t>
      </w:r>
      <w:r>
        <w:rPr>
          <w:rFonts w:hint="eastAsia" w:ascii="仿宋" w:hAnsi="仿宋" w:cs="仿宋"/>
        </w:rPr>
        <w:t>人升入</w:t>
      </w:r>
      <w:r>
        <w:rPr>
          <w:rFonts w:hint="eastAsia" w:ascii="仿宋" w:hAnsi="仿宋" w:cs="仿宋"/>
          <w:lang w:eastAsia="zh-CN"/>
        </w:rPr>
        <w:t>本科及</w:t>
      </w:r>
      <w:r>
        <w:rPr>
          <w:rFonts w:hint="eastAsia" w:ascii="仿宋" w:hAnsi="仿宋" w:cs="仿宋"/>
        </w:rPr>
        <w:t>高职院校，</w:t>
      </w:r>
      <w:r>
        <w:rPr>
          <w:rFonts w:hint="eastAsia" w:ascii="仿宋" w:hAnsi="仿宋" w:cs="仿宋"/>
          <w:lang w:val="en-US" w:eastAsia="zh-CN"/>
        </w:rPr>
        <w:t>3人升入高级工班学习，</w:t>
      </w:r>
      <w:r>
        <w:rPr>
          <w:rFonts w:hint="eastAsia" w:ascii="仿宋" w:hAnsi="仿宋" w:cs="仿宋"/>
        </w:rPr>
        <w:t>升学率</w:t>
      </w:r>
      <w:r>
        <w:rPr>
          <w:rFonts w:hint="eastAsia" w:ascii="仿宋" w:hAnsi="仿宋" w:cs="仿宋"/>
          <w:lang w:eastAsia="zh-CN"/>
        </w:rPr>
        <w:t>为</w:t>
      </w:r>
      <w:r>
        <w:rPr>
          <w:rFonts w:hint="eastAsia" w:ascii="仿宋" w:hAnsi="仿宋" w:cs="仿宋"/>
        </w:rPr>
        <w:t>9</w:t>
      </w:r>
      <w:r>
        <w:rPr>
          <w:rFonts w:hint="eastAsia" w:ascii="仿宋" w:hAnsi="仿宋" w:cs="仿宋"/>
          <w:lang w:val="en-US" w:eastAsia="zh-CN"/>
        </w:rPr>
        <w:t>1</w:t>
      </w:r>
      <w:r>
        <w:rPr>
          <w:rFonts w:hint="eastAsia" w:ascii="仿宋" w:hAnsi="仿宋" w:cs="仿宋"/>
        </w:rPr>
        <w:t>.</w:t>
      </w:r>
      <w:r>
        <w:rPr>
          <w:rFonts w:hint="eastAsia" w:ascii="仿宋" w:hAnsi="仿宋" w:cs="仿宋"/>
          <w:lang w:val="en-US" w:eastAsia="zh-CN"/>
        </w:rPr>
        <w:t>59</w:t>
      </w:r>
      <w:r>
        <w:rPr>
          <w:rFonts w:hint="eastAsia" w:ascii="仿宋" w:hAnsi="仿宋" w:cs="仿宋"/>
        </w:rPr>
        <w:t>%</w:t>
      </w:r>
      <w:r>
        <w:rPr>
          <w:rFonts w:hint="eastAsia" w:ascii="仿宋" w:hAnsi="仿宋" w:cs="仿宋"/>
          <w:lang w:eastAsia="zh-CN"/>
        </w:rPr>
        <w:t>。</w:t>
      </w:r>
    </w:p>
    <w:p>
      <w:pPr>
        <w:rPr>
          <w:rFonts w:ascii="仿宋" w:hAnsi="仿宋" w:cs="仿宋"/>
          <w:b/>
          <w:szCs w:val="32"/>
        </w:rPr>
      </w:pPr>
      <w:r>
        <w:rPr>
          <w:rFonts w:hint="eastAsia" w:ascii="仿宋" w:hAnsi="仿宋" w:cs="仿宋"/>
          <w:b/>
          <w:szCs w:val="32"/>
        </w:rPr>
        <w:t>2.5职业发展</w:t>
      </w:r>
    </w:p>
    <w:p>
      <w:pPr>
        <w:ind w:firstLine="640"/>
        <w:jc w:val="both"/>
        <w:rPr>
          <w:rFonts w:ascii="仿宋" w:hAnsi="仿宋" w:cs="仿宋"/>
        </w:rPr>
      </w:pPr>
      <w:r>
        <w:rPr>
          <w:rFonts w:hint="eastAsia" w:ascii="仿宋" w:hAnsi="仿宋" w:cs="仿宋"/>
        </w:rPr>
        <w:t>学院注重对学生一专多能的培养，以为企业输送优秀人才为培养目标，注重校企合作的人才培养理念，通过定向班、定单班的合作引入企业课程，在学生职业规划、企业文化等方面注重培养，树立学生正确的就业定位，提升学生岗位适应力，学生就业稳定率达80%以上。采取人尽其才的岗位推荐原则，发挥学生特长优势，不断提升学生自学能力，形成学生在学中干、干中学产学交替，理论联系实际的良好学习氛围，在所有就业班毕业生中有42.72%参加国开大专教育。学生从入学便开设就业指导课程，通过指导课程对学生进行职业规划，帮助学生树立正确的择业观、就业观。聘请优秀毕业生来校为学生介绍个人成长经历，用毕业生的亲身经历来指导学生如何面对困难，如何正确评价自身能力，如何以正确的心态面向岗位。</w:t>
      </w:r>
    </w:p>
    <w:p>
      <w:pPr>
        <w:numPr>
          <w:ilvl w:val="0"/>
          <w:numId w:val="1"/>
        </w:numPr>
        <w:rPr>
          <w:rFonts w:ascii="黑体" w:hAnsi="黑体" w:eastAsia="黑体" w:cs="黑体"/>
          <w:szCs w:val="32"/>
        </w:rPr>
      </w:pPr>
      <w:r>
        <w:rPr>
          <w:rFonts w:hint="eastAsia" w:ascii="黑体" w:hAnsi="黑体" w:eastAsia="黑体" w:cs="黑体"/>
          <w:szCs w:val="32"/>
        </w:rPr>
        <w:t>质量保障措施</w:t>
      </w:r>
    </w:p>
    <w:p>
      <w:pPr>
        <w:rPr>
          <w:rFonts w:ascii="仿宋" w:hAnsi="仿宋" w:cs="仿宋"/>
          <w:b/>
          <w:szCs w:val="32"/>
        </w:rPr>
      </w:pPr>
      <w:r>
        <w:rPr>
          <w:rFonts w:hint="eastAsia" w:ascii="仿宋" w:hAnsi="仿宋" w:cs="仿宋"/>
          <w:b/>
          <w:szCs w:val="32"/>
        </w:rPr>
        <w:t>3.1专业动态调整</w:t>
      </w:r>
    </w:p>
    <w:p>
      <w:pPr>
        <w:ind w:firstLine="640"/>
        <w:jc w:val="both"/>
        <w:rPr>
          <w:rFonts w:ascii="仿宋" w:hAnsi="仿宋" w:cs="仿宋"/>
        </w:rPr>
      </w:pPr>
      <w:r>
        <w:rPr>
          <w:rFonts w:ascii="仿宋" w:hAnsi="仿宋" w:cs="仿宋"/>
        </w:rPr>
        <w:t>学院主动适应东北老工业基地振兴发展战略，坚持适应市场、建设精品、突出特色、服务就业的指导思想，根据市场需求和辽沈地区经济社会发展，瞄准汽车和装备制造业，形成以汽车技术、智能制造、电子信息等协调发展的三大优势专业群。</w:t>
      </w:r>
    </w:p>
    <w:p>
      <w:pPr>
        <w:ind w:firstLine="640"/>
        <w:jc w:val="both"/>
        <w:rPr>
          <w:rFonts w:ascii="仿宋" w:hAnsi="仿宋" w:cs="仿宋"/>
        </w:rPr>
      </w:pPr>
      <w:r>
        <w:rPr>
          <w:rFonts w:ascii="仿宋" w:hAnsi="仿宋" w:cs="仿宋"/>
        </w:rPr>
        <w:t>为不断满足东北老工业基地的转型升级，在整合完善原有专业结构的基础上，重点发展与高新技术产业和地区支柱产业相适应的对口专业，</w:t>
      </w:r>
      <w:r>
        <w:rPr>
          <w:rFonts w:hint="eastAsia" w:ascii="仿宋" w:hAnsi="仿宋" w:cs="仿宋"/>
        </w:rPr>
        <w:t>2018年新申报了汽车新能源制造与装配（中级工）、数控机床装配与维修（中级工、高级工）2个专业。</w:t>
      </w:r>
    </w:p>
    <w:p>
      <w:pPr>
        <w:ind w:firstLine="640"/>
        <w:jc w:val="both"/>
        <w:rPr>
          <w:rFonts w:ascii="仿宋" w:hAnsi="仿宋" w:cs="仿宋"/>
        </w:rPr>
      </w:pPr>
      <w:r>
        <w:rPr>
          <w:rFonts w:ascii="仿宋" w:hAnsi="仿宋" w:cs="仿宋"/>
        </w:rPr>
        <w:t>学院认真贯彻学习全国教育大会精神</w:t>
      </w:r>
      <w:r>
        <w:rPr>
          <w:rFonts w:hint="eastAsia" w:ascii="仿宋" w:hAnsi="仿宋" w:cs="仿宋"/>
        </w:rPr>
        <w:t>，</w:t>
      </w:r>
      <w:r>
        <w:rPr>
          <w:rFonts w:ascii="仿宋" w:hAnsi="仿宋" w:cs="仿宋"/>
        </w:rPr>
        <w:t>始终把培养为地方经济服务的创新型</w:t>
      </w:r>
      <w:r>
        <w:rPr>
          <w:rFonts w:hint="eastAsia" w:ascii="仿宋" w:hAnsi="仿宋" w:cs="仿宋"/>
        </w:rPr>
        <w:t>、复合</w:t>
      </w:r>
      <w:r>
        <w:rPr>
          <w:rFonts w:ascii="仿宋" w:hAnsi="仿宋" w:cs="仿宋"/>
        </w:rPr>
        <w:t>型</w:t>
      </w:r>
      <w:r>
        <w:rPr>
          <w:rFonts w:hint="eastAsia" w:ascii="仿宋" w:hAnsi="仿宋" w:cs="仿宋"/>
        </w:rPr>
        <w:t>、</w:t>
      </w:r>
      <w:r>
        <w:rPr>
          <w:rFonts w:ascii="仿宋" w:hAnsi="仿宋" w:cs="仿宋"/>
        </w:rPr>
        <w:t>应用型技能人才作为首要任务，以立德树人和培育工匠精神为根本，以培养综合职业能力为核心，深化教育教学改革，引进、吸收日本丰田职业教育模式和经验，结合我国国情和企业生产制造技术发展的实际，加强与企业、行业等部门的联系，坚持走工学结合、校企合作的道路，构建了理论与实践相互支撑、教学内容与生产实际相互融合、传授知识与培养能力和提高素质三位一体的教学体系。</w:t>
      </w:r>
    </w:p>
    <w:p>
      <w:pPr>
        <w:rPr>
          <w:rFonts w:ascii="仿宋" w:hAnsi="仿宋" w:cs="仿宋"/>
          <w:b/>
          <w:szCs w:val="32"/>
        </w:rPr>
      </w:pPr>
      <w:r>
        <w:rPr>
          <w:rFonts w:hint="eastAsia" w:ascii="仿宋" w:hAnsi="仿宋" w:cs="仿宋"/>
          <w:b/>
          <w:szCs w:val="32"/>
        </w:rPr>
        <w:t>3.2教育教学改革</w:t>
      </w:r>
    </w:p>
    <w:p>
      <w:pPr>
        <w:ind w:firstLine="640"/>
        <w:jc w:val="both"/>
        <w:rPr>
          <w:rFonts w:ascii="仿宋" w:hAnsi="仿宋" w:cs="仿宋"/>
        </w:rPr>
      </w:pPr>
      <w:r>
        <w:rPr>
          <w:rFonts w:ascii="仿宋" w:hAnsi="仿宋" w:cs="仿宋"/>
        </w:rPr>
        <w:t>在专业建设上，坚持突出重点专业，打造特色专业，开办新兴专业。重点建设了汽车检测与维修技术、数控加工、模具制造、电气自动化安装与维修等4个国家中等职业教育示范专业。根据沈阳市标志性学校项目建设方案，重点建设</w:t>
      </w:r>
      <w:r>
        <w:rPr>
          <w:rFonts w:hint="eastAsia" w:ascii="仿宋" w:hAnsi="仿宋" w:cs="仿宋"/>
          <w:lang w:eastAsia="zh-CN"/>
        </w:rPr>
        <w:t>汽车检测、</w:t>
      </w:r>
      <w:r>
        <w:rPr>
          <w:rFonts w:ascii="仿宋" w:hAnsi="仿宋" w:cs="仿宋"/>
        </w:rPr>
        <w:t>汽车维修、数控加工</w:t>
      </w:r>
      <w:r>
        <w:rPr>
          <w:rFonts w:hint="eastAsia" w:ascii="仿宋" w:hAnsi="仿宋" w:cs="仿宋"/>
          <w:lang w:eastAsia="zh-CN"/>
        </w:rPr>
        <w:t>（数控车）</w:t>
      </w:r>
      <w:r>
        <w:rPr>
          <w:rFonts w:ascii="仿宋" w:hAnsi="仿宋" w:cs="仿宋"/>
        </w:rPr>
        <w:t>、数控加工</w:t>
      </w:r>
      <w:r>
        <w:rPr>
          <w:rFonts w:hint="eastAsia" w:ascii="仿宋" w:hAnsi="仿宋" w:cs="仿宋"/>
          <w:lang w:eastAsia="zh-CN"/>
        </w:rPr>
        <w:t>（加工中心）、</w:t>
      </w:r>
      <w:r>
        <w:rPr>
          <w:rFonts w:ascii="仿宋" w:hAnsi="仿宋" w:cs="仿宋"/>
        </w:rPr>
        <w:t>电气自动化安装与维修等5个沈阳市中等职业教育示范性骨干专业。</w:t>
      </w:r>
    </w:p>
    <w:p>
      <w:pPr>
        <w:ind w:firstLine="640"/>
        <w:jc w:val="both"/>
        <w:rPr>
          <w:rFonts w:ascii="仿宋" w:hAnsi="仿宋"/>
          <w:color w:val="333333"/>
          <w:szCs w:val="32"/>
        </w:rPr>
      </w:pPr>
      <w:r>
        <w:rPr>
          <w:rFonts w:ascii="仿宋" w:hAnsi="仿宋" w:cs="仿宋"/>
        </w:rPr>
        <w:t>电气自动化设备安装与维修专业</w:t>
      </w:r>
      <w:r>
        <w:rPr>
          <w:rFonts w:hint="eastAsia" w:ascii="仿宋" w:hAnsi="仿宋"/>
          <w:color w:val="333333"/>
          <w:szCs w:val="32"/>
        </w:rPr>
        <w:t>按照《辽宁省技工院校一体化课程教学文件编制规范》（辽技教字[2013]6号）要求，结合我院生源和实训条件的具体情况，编制了</w:t>
      </w:r>
      <w:r>
        <w:rPr>
          <w:rFonts w:ascii="仿宋" w:hAnsi="仿宋" w:cs="仿宋"/>
        </w:rPr>
        <w:t>电气一体化教学改革试点专业</w:t>
      </w:r>
      <w:r>
        <w:rPr>
          <w:rFonts w:hint="eastAsia" w:ascii="仿宋" w:hAnsi="仿宋" w:cs="仿宋"/>
        </w:rPr>
        <w:t>《照明线路的安装与检修》</w:t>
      </w:r>
      <w:r>
        <w:rPr>
          <w:rFonts w:hint="eastAsia" w:ascii="仿宋" w:hAnsi="仿宋"/>
          <w:color w:val="333333"/>
          <w:szCs w:val="32"/>
        </w:rPr>
        <w:t>、《电动机继电控制线路的安装与检修》、《简单电子线路的装接与维修》、《简单电气设备的安装与检修》等多门课程的《一体化课程实施性教学计划》、《一体化课程教学设计方案》和《一体化课程学习活动策划表》，并依据《辽宁省一体化课程教学改革试点技工院校课程认证与过程化考核办法》制定了我院的过程化考核实施细则。在一体化教学过程中</w:t>
      </w:r>
      <w:r>
        <w:rPr>
          <w:rFonts w:hint="eastAsia" w:ascii="仿宋" w:hAnsi="仿宋"/>
          <w:szCs w:val="32"/>
        </w:rPr>
        <w:t>运用信息化的模式，有效提高了课堂效率，让学生由被动接受变成主动探索学习，收到了良好的效果。</w:t>
      </w:r>
    </w:p>
    <w:p>
      <w:pPr>
        <w:ind w:firstLine="640"/>
        <w:jc w:val="both"/>
        <w:rPr>
          <w:rFonts w:ascii="仿宋" w:hAnsi="仿宋" w:cs="仿宋"/>
          <w:szCs w:val="32"/>
        </w:rPr>
      </w:pPr>
      <w:r>
        <w:rPr>
          <w:rFonts w:hint="eastAsia" w:ascii="仿宋" w:hAnsi="仿宋" w:cs="仿宋"/>
          <w:szCs w:val="32"/>
        </w:rPr>
        <w:t>汽车</w:t>
      </w:r>
      <w:r>
        <w:rPr>
          <w:rFonts w:ascii="仿宋" w:hAnsi="仿宋" w:cs="仿宋"/>
        </w:rPr>
        <w:t>专业群</w:t>
      </w:r>
      <w:r>
        <w:rPr>
          <w:rFonts w:hint="eastAsia" w:ascii="仿宋" w:hAnsi="仿宋" w:cs="仿宋"/>
          <w:szCs w:val="32"/>
        </w:rPr>
        <w:t>利用现有校内实训基地完成了《汽车保险与理赔》课程一体化教学改革。实现“教、学、做”合一，强化学生对理论知识的理解和掌握，提高学生对于相关岗位动手操作、沟通管理、团队合作能力的培养，提升我院汽车专业人才培养质量。在资源库建设方面，根据企业、国家职业技能鉴定需求，进行汽车专业核心课程教学资源库建设。新建7门课程的教学资源。其中包括：视频资源20个共计895分钟、图片资源91个、动画资源50个（其中二维动画5</w:t>
      </w:r>
      <w:r>
        <w:rPr>
          <w:rFonts w:hint="eastAsia" w:ascii="仿宋" w:hAnsi="仿宋" w:cs="仿宋"/>
          <w:szCs w:val="32"/>
          <w:lang w:eastAsia="zh-CN"/>
        </w:rPr>
        <w:t>个</w:t>
      </w:r>
      <w:r>
        <w:rPr>
          <w:rFonts w:hint="eastAsia" w:ascii="仿宋" w:hAnsi="仿宋" w:cs="仿宋"/>
          <w:szCs w:val="32"/>
        </w:rPr>
        <w:t>、三维动画45</w:t>
      </w:r>
      <w:r>
        <w:rPr>
          <w:rFonts w:hint="eastAsia" w:ascii="仿宋" w:hAnsi="仿宋" w:cs="仿宋"/>
          <w:szCs w:val="32"/>
          <w:lang w:eastAsia="zh-CN"/>
        </w:rPr>
        <w:t>个</w:t>
      </w:r>
      <w:r>
        <w:rPr>
          <w:rFonts w:hint="eastAsia" w:ascii="仿宋" w:hAnsi="仿宋" w:cs="仿宋"/>
          <w:szCs w:val="32"/>
        </w:rPr>
        <w:t>）、PPT资源119个。</w:t>
      </w:r>
    </w:p>
    <w:p>
      <w:pPr>
        <w:ind w:firstLine="640"/>
        <w:jc w:val="both"/>
        <w:rPr>
          <w:rFonts w:ascii="仿宋" w:hAnsi="仿宋" w:cs="仿宋"/>
          <w:szCs w:val="32"/>
        </w:rPr>
      </w:pPr>
      <w:r>
        <w:rPr>
          <w:rFonts w:hint="eastAsia" w:ascii="仿宋" w:hAnsi="仿宋" w:cs="仿宋"/>
          <w:szCs w:val="32"/>
          <w:lang w:eastAsia="zh-CN"/>
        </w:rPr>
        <w:t>进一步完善</w:t>
      </w:r>
      <w:r>
        <w:rPr>
          <w:rFonts w:ascii="仿宋" w:hAnsi="仿宋" w:cs="仿宋"/>
          <w:szCs w:val="32"/>
        </w:rPr>
        <w:t>数控加工</w:t>
      </w:r>
      <w:r>
        <w:rPr>
          <w:rFonts w:hint="eastAsia" w:ascii="仿宋" w:hAnsi="仿宋" w:cs="仿宋"/>
          <w:szCs w:val="32"/>
        </w:rPr>
        <w:t>和</w:t>
      </w:r>
      <w:r>
        <w:rPr>
          <w:rFonts w:ascii="仿宋" w:hAnsi="仿宋" w:cs="仿宋"/>
          <w:szCs w:val="32"/>
        </w:rPr>
        <w:t>模具制造专业</w:t>
      </w:r>
      <w:r>
        <w:rPr>
          <w:rFonts w:hint="eastAsia" w:ascii="仿宋" w:hAnsi="仿宋" w:cs="仿宋"/>
          <w:szCs w:val="32"/>
          <w:lang w:eastAsia="zh-CN"/>
        </w:rPr>
        <w:t>课程体系建设</w:t>
      </w:r>
      <w:r>
        <w:rPr>
          <w:rFonts w:hint="eastAsia" w:ascii="仿宋" w:hAnsi="仿宋" w:cs="仿宋"/>
          <w:szCs w:val="32"/>
        </w:rPr>
        <w:t>，新</w:t>
      </w:r>
      <w:r>
        <w:rPr>
          <w:rFonts w:hint="eastAsia" w:ascii="仿宋" w:hAnsi="仿宋"/>
          <w:color w:val="333333"/>
          <w:szCs w:val="32"/>
        </w:rPr>
        <w:t>增了《现代加工技术》、</w:t>
      </w:r>
      <w:r>
        <w:rPr>
          <w:rFonts w:hint="eastAsia" w:ascii="仿宋" w:hAnsi="仿宋"/>
          <w:bCs/>
          <w:szCs w:val="32"/>
        </w:rPr>
        <w:t>《数控机床几何精度检测》、《数控机床维修技术》等课程，</w:t>
      </w:r>
      <w:r>
        <w:rPr>
          <w:rFonts w:hint="eastAsia" w:ascii="仿宋" w:hAnsi="仿宋"/>
          <w:color w:val="333333"/>
          <w:szCs w:val="32"/>
        </w:rPr>
        <w:t>完善了主干课程《数控编程》、《模具专业综合课题》理实一体化建设。</w:t>
      </w:r>
      <w:r>
        <w:rPr>
          <w:rFonts w:hint="eastAsia" w:ascii="仿宋" w:hAnsi="仿宋"/>
          <w:szCs w:val="32"/>
        </w:rPr>
        <w:t>利用微课视频、超星学习通、蓝墨云端课等教学类app进行辅助教学，组织教师录制了67个《CAXA制造工程师项目案例教程》中的操作实例视频，并上传至华中科技大学出版社网站制作成二维码，将其印制在教材对应例题的旁边，方便学生扫描二维码观看操作视频，构建信息时代的新型课堂。</w:t>
      </w:r>
    </w:p>
    <w:p>
      <w:pPr>
        <w:ind w:firstLine="640"/>
        <w:jc w:val="both"/>
        <w:rPr>
          <w:rFonts w:ascii="仿宋" w:hAnsi="仿宋" w:cs="仿宋"/>
          <w:szCs w:val="32"/>
        </w:rPr>
      </w:pPr>
      <w:r>
        <w:rPr>
          <w:rFonts w:ascii="仿宋" w:hAnsi="仿宋" w:cs="仿宋"/>
          <w:szCs w:val="32"/>
        </w:rPr>
        <w:t>为贯彻落实《人力资源社会保障部关于推进技工院校改革创新的若干意见》（人社部发〔2014〕96号）精神，进一步规范技工院校教学，</w:t>
      </w:r>
      <w:r>
        <w:rPr>
          <w:rFonts w:hint="eastAsia" w:ascii="仿宋" w:hAnsi="仿宋" w:cs="仿宋"/>
          <w:szCs w:val="32"/>
        </w:rPr>
        <w:t>学院公共基础课设置严格按照《技工院校公共课设置方案》，根据各专业人才培养目标、教学计划和教学大纲要求，针对不同生源、不同教学阶段，对基础课的教学安排、课程设置及教学内容作了适当调整，调整量小于</w:t>
      </w:r>
      <w:r>
        <w:rPr>
          <w:rFonts w:hint="eastAsia" w:ascii="仿宋" w:hAnsi="仿宋" w:cs="仿宋"/>
          <w:szCs w:val="32"/>
          <w:lang w:val="en-US" w:eastAsia="zh-CN"/>
        </w:rPr>
        <w:t>11</w:t>
      </w:r>
      <w:r>
        <w:rPr>
          <w:rFonts w:hint="eastAsia" w:ascii="仿宋" w:hAnsi="仿宋" w:cs="仿宋"/>
          <w:szCs w:val="32"/>
        </w:rPr>
        <w:t>%。公共基础课教学始终坚持以“学生为主体、教师为主导”的教育理念，本着“够用为度，实用为主”的原则，</w:t>
      </w:r>
      <w:r>
        <w:rPr>
          <w:rFonts w:hint="eastAsia" w:ascii="仿宋" w:hAnsi="仿宋" w:cs="仿宋"/>
          <w:szCs w:val="32"/>
          <w:shd w:val="clear" w:color="auto" w:fill="FFFFFF"/>
        </w:rPr>
        <w:t>不断深化教学改革，</w:t>
      </w:r>
      <w:r>
        <w:rPr>
          <w:rFonts w:hint="eastAsia" w:ascii="仿宋" w:hAnsi="仿宋" w:cs="仿宋"/>
          <w:szCs w:val="32"/>
        </w:rPr>
        <w:t>加大对信息化教学</w:t>
      </w:r>
      <w:r>
        <w:rPr>
          <w:rFonts w:hint="eastAsia" w:ascii="仿宋" w:hAnsi="仿宋" w:cs="仿宋"/>
          <w:szCs w:val="32"/>
          <w:shd w:val="clear" w:color="auto" w:fill="FFFFFF"/>
        </w:rPr>
        <w:t>手段的运用。</w:t>
      </w:r>
      <w:r>
        <w:rPr>
          <w:rFonts w:hint="eastAsia" w:ascii="仿宋" w:hAnsi="仿宋" w:cs="仿宋"/>
          <w:szCs w:val="32"/>
        </w:rPr>
        <w:t>采取案例教学、情景模拟教学、小组讨论、项目驱动等学生自主</w:t>
      </w:r>
      <w:r>
        <w:rPr>
          <w:rFonts w:hint="eastAsia" w:ascii="仿宋" w:hAnsi="仿宋" w:cs="仿宋"/>
          <w:szCs w:val="32"/>
          <w:shd w:val="clear" w:color="auto" w:fill="FFFFFF"/>
        </w:rPr>
        <w:t>探究性学习，努力构建特色文化课堂，积极开展学科活动，</w:t>
      </w:r>
      <w:r>
        <w:rPr>
          <w:rFonts w:hint="eastAsia" w:ascii="仿宋" w:hAnsi="仿宋" w:cs="仿宋"/>
          <w:szCs w:val="32"/>
        </w:rPr>
        <w:t>充分调动了学生的积极性与学习兴趣，向课堂要质量，取得良好教学效果。2018年，英语教师蒋晴</w:t>
      </w:r>
      <w:r>
        <w:rPr>
          <w:rFonts w:hint="eastAsia" w:ascii="仿宋" w:hAnsi="仿宋" w:cs="仿宋"/>
          <w:szCs w:val="32"/>
          <w:lang w:eastAsia="zh-CN"/>
        </w:rPr>
        <w:t>获</w:t>
      </w:r>
      <w:r>
        <w:rPr>
          <w:rFonts w:hint="eastAsia" w:ascii="仿宋" w:hAnsi="仿宋" w:cs="仿宋"/>
          <w:szCs w:val="32"/>
        </w:rPr>
        <w:t>得了辽宁省信息化教学竞赛三等奖的好成绩；教师薛伟、孔跃、于艳娜的德育课被评为</w:t>
      </w:r>
      <w:r>
        <w:rPr>
          <w:rFonts w:hint="eastAsia" w:ascii="仿宋" w:hAnsi="仿宋" w:cs="仿宋"/>
        </w:rPr>
        <w:t>辽宁省</w:t>
      </w:r>
      <w:r>
        <w:rPr>
          <w:rFonts w:hint="eastAsia" w:ascii="仿宋" w:hAnsi="仿宋" w:cs="仿宋"/>
          <w:szCs w:val="32"/>
        </w:rPr>
        <w:t>特色示范课。</w:t>
      </w:r>
    </w:p>
    <w:p>
      <w:pPr>
        <w:ind w:firstLine="640"/>
        <w:jc w:val="both"/>
        <w:rPr>
          <w:rFonts w:ascii="仿宋" w:hAnsi="仿宋" w:cs="仿宋"/>
        </w:rPr>
      </w:pPr>
      <w:r>
        <w:rPr>
          <w:rFonts w:ascii="仿宋" w:hAnsi="仿宋" w:cs="仿宋"/>
        </w:rPr>
        <w:t>学院的教材选用严格按照国家人力资源和社会保障部相关文件要求，公共课教材全部选用人社部组织编写的国家级教材，部分专业课教材是根据职业岗位（群）素养和综合能力要求，由企业技术人员与我院教师共同编写。我院的电气自动化安装与维修一体化教学改革试点专业（省级）教材严格按照辽宁省人力资源和社会保障厅要求，使用人社部组织开发的一体化教材（工作页）和配套教材开展教学，较好的保证了教学质量。</w:t>
      </w:r>
    </w:p>
    <w:p>
      <w:pPr>
        <w:ind w:firstLine="640"/>
        <w:jc w:val="both"/>
        <w:rPr>
          <w:rFonts w:ascii="仿宋" w:hAnsi="仿宋" w:cs="仿宋"/>
          <w:szCs w:val="32"/>
        </w:rPr>
      </w:pPr>
      <w:r>
        <w:rPr>
          <w:rFonts w:hint="eastAsia" w:ascii="仿宋" w:hAnsi="仿宋" w:cs="仿宋"/>
          <w:highlight w:val="none"/>
        </w:rPr>
        <w:t>2018年，</w:t>
      </w:r>
      <w:r>
        <w:rPr>
          <w:rFonts w:hint="eastAsia" w:ascii="仿宋" w:hAnsi="仿宋"/>
          <w:szCs w:val="32"/>
          <w:highlight w:val="none"/>
        </w:rPr>
        <w:t>我院再次被国家人力资源和社会保障部评为第45届世界技能大赛原型制作项目中国集训基地。我院培养的选手满金龙和张浩分别入围原型制作、综合机械与自动化两个项目第45届世界技能大赛国家集训队，在10月份进行的国家集训队第一阶段测评中，满金龙</w:t>
      </w:r>
      <w:r>
        <w:rPr>
          <w:rFonts w:hint="eastAsia" w:ascii="仿宋" w:hAnsi="仿宋" w:cs="仿宋"/>
          <w:highlight w:val="none"/>
        </w:rPr>
        <w:t>获得</w:t>
      </w:r>
      <w:r>
        <w:rPr>
          <w:rFonts w:hint="eastAsia" w:ascii="仿宋" w:hAnsi="仿宋"/>
          <w:szCs w:val="32"/>
          <w:highlight w:val="none"/>
        </w:rPr>
        <w:t>第4名（8进4），进入下一阶段测评训练中。</w:t>
      </w:r>
      <w:r>
        <w:rPr>
          <w:rFonts w:hint="eastAsia" w:ascii="仿宋" w:hAnsi="仿宋" w:cs="仿宋"/>
          <w:highlight w:val="none"/>
        </w:rPr>
        <w:t>教师王</w:t>
      </w:r>
      <w:r>
        <w:rPr>
          <w:rFonts w:hint="eastAsia" w:ascii="仿宋" w:hAnsi="仿宋" w:cs="仿宋"/>
        </w:rPr>
        <w:t>善君获得</w:t>
      </w:r>
      <w:r>
        <w:rPr>
          <w:rFonts w:hint="eastAsia" w:ascii="仿宋" w:hAnsi="仿宋"/>
          <w:szCs w:val="32"/>
        </w:rPr>
        <w:t>辽宁省职业院校教师信息化教学大赛课堂教学赛项（中职组）课堂教学一等奖</w:t>
      </w:r>
      <w:r>
        <w:rPr>
          <w:rFonts w:hint="eastAsia" w:ascii="仿宋" w:hAnsi="仿宋" w:cs="仿宋"/>
          <w:szCs w:val="32"/>
        </w:rPr>
        <w:t>；教师</w:t>
      </w:r>
      <w:r>
        <w:rPr>
          <w:rFonts w:hint="eastAsia" w:ascii="仿宋" w:hAnsi="仿宋"/>
          <w:szCs w:val="32"/>
        </w:rPr>
        <w:t>郑闯、蒋晴分别获得沈阳中等职业学校信息化教学比赛教学设计、课堂教学一等奖；教师马潇、刘晔宁、薛伟等获得省、市各级教学竞赛二、三等奖</w:t>
      </w:r>
      <w:r>
        <w:rPr>
          <w:rFonts w:hint="eastAsia" w:ascii="仿宋" w:hAnsi="仿宋"/>
          <w:szCs w:val="32"/>
          <w:lang w:eastAsia="zh-CN"/>
        </w:rPr>
        <w:t>；</w:t>
      </w:r>
      <w:r>
        <w:rPr>
          <w:rFonts w:hint="eastAsia" w:ascii="仿宋" w:hAnsi="仿宋"/>
          <w:szCs w:val="32"/>
        </w:rPr>
        <w:t>教师王佳珺、宋欢获得2018“振兴杯”辽宁青年工业设计大赛产品奖；教师胡锦达、</w:t>
      </w:r>
      <w:r>
        <w:rPr>
          <w:rFonts w:hint="eastAsia" w:ascii="仿宋" w:hAnsi="仿宋" w:cs="仿宋"/>
        </w:rPr>
        <w:t>刘国辉</w:t>
      </w:r>
      <w:r>
        <w:rPr>
          <w:rFonts w:hint="eastAsia" w:ascii="仿宋" w:hAnsi="仿宋"/>
          <w:szCs w:val="32"/>
        </w:rPr>
        <w:t>获得辽宁省职业院校技能大赛（中职组）汽车营销指导教师一等奖；实习教师李金铭、张昱、李俊分别获得数控铣、车加工、数控车工指导教师二等奖。</w:t>
      </w:r>
    </w:p>
    <w:p>
      <w:pPr>
        <w:ind w:firstLine="640"/>
        <w:jc w:val="both"/>
        <w:rPr>
          <w:rFonts w:ascii="仿宋" w:hAnsi="仿宋" w:cs="仿宋"/>
          <w:szCs w:val="32"/>
        </w:rPr>
      </w:pPr>
      <w:r>
        <w:rPr>
          <w:rFonts w:ascii="仿宋" w:hAnsi="仿宋" w:cs="仿宋"/>
        </w:rPr>
        <w:t>学院以数字化校园建设项目为切入点，</w:t>
      </w:r>
      <w:r>
        <w:rPr>
          <w:rFonts w:hint="eastAsia" w:ascii="仿宋" w:hAnsi="仿宋" w:cs="仿宋"/>
          <w:szCs w:val="32"/>
        </w:rPr>
        <w:t>建成集语音教学系统、教室管理系统、多媒体系统于一体的综合性数字化语音教室1个，包括1台管理机</w:t>
      </w:r>
      <w:r>
        <w:rPr>
          <w:rFonts w:hint="eastAsia" w:ascii="仿宋" w:hAnsi="仿宋" w:cs="仿宋"/>
          <w:szCs w:val="32"/>
          <w:lang w:eastAsia="zh-CN"/>
        </w:rPr>
        <w:t>、</w:t>
      </w:r>
      <w:r>
        <w:rPr>
          <w:rFonts w:hint="eastAsia" w:ascii="仿宋" w:hAnsi="仿宋" w:cs="仿宋"/>
          <w:szCs w:val="32"/>
        </w:rPr>
        <w:t>40台学生机，以及管理软件系统；建成2个数控模拟仿真机房</w:t>
      </w:r>
      <w:r>
        <w:rPr>
          <w:rFonts w:hint="eastAsia" w:ascii="仿宋" w:hAnsi="仿宋" w:cs="仿宋"/>
          <w:szCs w:val="32"/>
          <w:lang w:eastAsia="zh-CN"/>
        </w:rPr>
        <w:t>；</w:t>
      </w:r>
      <w:r>
        <w:rPr>
          <w:rFonts w:hint="eastAsia" w:ascii="仿宋" w:hAnsi="仿宋" w:cs="仿宋"/>
          <w:szCs w:val="32"/>
        </w:rPr>
        <w:t>更新了1个机房，共计130台计算机。目前数字化语音教室和所有机房已投入教学使用。</w:t>
      </w:r>
    </w:p>
    <w:p>
      <w:pPr>
        <w:spacing w:before="100" w:beforeAutospacing="1" w:line="240" w:lineRule="auto"/>
        <w:rPr>
          <w:rFonts w:ascii="仿宋" w:hAnsi="仿宋" w:cs="仿宋"/>
          <w:b/>
          <w:szCs w:val="32"/>
        </w:rPr>
      </w:pPr>
      <w:r>
        <w:rPr>
          <w:rFonts w:hint="eastAsia" w:ascii="仿宋" w:hAnsi="仿宋" w:cs="仿宋"/>
          <w:b/>
          <w:szCs w:val="32"/>
        </w:rPr>
        <w:t>3.3教师培养培训</w:t>
      </w:r>
    </w:p>
    <w:p>
      <w:pPr>
        <w:ind w:firstLine="640" w:firstLineChars="200"/>
        <w:rPr>
          <w:rFonts w:ascii="仿宋" w:hAnsi="仿宋" w:cs="仿宋"/>
        </w:rPr>
      </w:pPr>
      <w:r>
        <w:rPr>
          <w:rFonts w:ascii="仿宋" w:hAnsi="仿宋" w:cs="仿宋"/>
        </w:rPr>
        <w:t>学院注重教师的培养与发展，建立了集校本培训、校外培训、竞赛集训、国外研修培训于一体的师资培训模式。</w:t>
      </w:r>
    </w:p>
    <w:p>
      <w:pPr>
        <w:ind w:firstLine="640" w:firstLineChars="200"/>
        <w:rPr>
          <w:rFonts w:ascii="仿宋" w:hAnsi="仿宋" w:cs="仿宋"/>
        </w:rPr>
      </w:pPr>
      <w:r>
        <w:rPr>
          <w:rFonts w:ascii="仿宋" w:hAnsi="仿宋" w:cs="仿宋"/>
        </w:rPr>
        <w:t>201</w:t>
      </w:r>
      <w:r>
        <w:rPr>
          <w:rFonts w:hint="eastAsia" w:ascii="仿宋" w:hAnsi="仿宋" w:cs="仿宋"/>
        </w:rPr>
        <w:t>8</w:t>
      </w:r>
      <w:r>
        <w:rPr>
          <w:rFonts w:ascii="仿宋" w:hAnsi="仿宋" w:cs="仿宋"/>
        </w:rPr>
        <w:t>年</w:t>
      </w:r>
      <w:r>
        <w:rPr>
          <w:rFonts w:hint="eastAsia" w:ascii="仿宋" w:hAnsi="仿宋" w:cs="仿宋"/>
          <w:lang w:eastAsia="zh-CN"/>
        </w:rPr>
        <w:t>选派</w:t>
      </w:r>
      <w:r>
        <w:rPr>
          <w:rFonts w:ascii="仿宋" w:hAnsi="仿宋" w:cs="仿宋"/>
        </w:rPr>
        <w:t>教师代表赴丰田公司研修</w:t>
      </w:r>
      <w:r>
        <w:rPr>
          <w:rFonts w:hint="eastAsia" w:ascii="仿宋" w:hAnsi="仿宋" w:cs="仿宋"/>
        </w:rPr>
        <w:t>6人次</w:t>
      </w:r>
      <w:r>
        <w:rPr>
          <w:rFonts w:hint="eastAsia" w:ascii="仿宋" w:hAnsi="仿宋" w:cs="仿宋"/>
          <w:lang w:eastAsia="zh-CN"/>
        </w:rPr>
        <w:t>；</w:t>
      </w:r>
      <w:r>
        <w:rPr>
          <w:rFonts w:ascii="仿宋" w:hAnsi="仿宋" w:cs="仿宋"/>
        </w:rPr>
        <w:t>安排教师参加国内装备新技术展示会、赴华晨等企业参观、生产实践培训</w:t>
      </w:r>
      <w:r>
        <w:rPr>
          <w:rFonts w:hint="eastAsia" w:ascii="仿宋" w:hAnsi="仿宋" w:cs="仿宋"/>
          <w:lang w:eastAsia="zh-CN"/>
        </w:rPr>
        <w:t>共</w:t>
      </w:r>
      <w:r>
        <w:rPr>
          <w:rFonts w:hint="eastAsia" w:ascii="仿宋" w:hAnsi="仿宋" w:cs="仿宋"/>
        </w:rPr>
        <w:t>38人次，</w:t>
      </w:r>
      <w:r>
        <w:rPr>
          <w:rFonts w:ascii="仿宋" w:hAnsi="仿宋" w:cs="仿宋"/>
        </w:rPr>
        <w:t>不断提高教师一体化教学实践水平。</w:t>
      </w:r>
    </w:p>
    <w:p>
      <w:pPr>
        <w:ind w:firstLine="640" w:firstLineChars="200"/>
        <w:rPr>
          <w:rFonts w:ascii="仿宋" w:hAnsi="仿宋" w:cs="仿宋"/>
        </w:rPr>
      </w:pPr>
      <w:r>
        <w:rPr>
          <w:rFonts w:ascii="仿宋" w:hAnsi="仿宋" w:cs="仿宋"/>
        </w:rPr>
        <w:t>安排教师参加沈阳市职业教育研究院组织的教师职业能力提升培训</w:t>
      </w:r>
      <w:r>
        <w:rPr>
          <w:rFonts w:hint="eastAsia" w:ascii="仿宋" w:hAnsi="仿宋" w:cs="仿宋"/>
        </w:rPr>
        <w:t>44人次，</w:t>
      </w:r>
      <w:r>
        <w:rPr>
          <w:rFonts w:hint="eastAsia" w:ascii="仿宋" w:hAnsi="仿宋" w:cs="仿宋"/>
          <w:lang w:eastAsia="zh-CN"/>
        </w:rPr>
        <w:t>共</w:t>
      </w:r>
      <w:r>
        <w:rPr>
          <w:rFonts w:hint="eastAsia" w:ascii="仿宋" w:hAnsi="仿宋" w:cs="仿宋"/>
        </w:rPr>
        <w:t>428学时；参加</w:t>
      </w:r>
      <w:r>
        <w:rPr>
          <w:rFonts w:ascii="仿宋" w:hAnsi="仿宋" w:cs="仿宋"/>
        </w:rPr>
        <w:t>辽宁装备制造职业教育集团组织的教师职业能力提升培训</w:t>
      </w:r>
      <w:r>
        <w:rPr>
          <w:rFonts w:hint="eastAsia" w:ascii="仿宋" w:hAnsi="仿宋" w:cs="仿宋"/>
        </w:rPr>
        <w:t>11人次，</w:t>
      </w:r>
      <w:r>
        <w:rPr>
          <w:rFonts w:hint="eastAsia" w:ascii="仿宋" w:hAnsi="仿宋" w:cs="仿宋"/>
          <w:lang w:eastAsia="zh-CN"/>
        </w:rPr>
        <w:t>共</w:t>
      </w:r>
      <w:r>
        <w:rPr>
          <w:rFonts w:hint="eastAsia" w:ascii="仿宋" w:hAnsi="仿宋" w:cs="仿宋"/>
        </w:rPr>
        <w:t>96学时；参加</w:t>
      </w:r>
      <w:r>
        <w:rPr>
          <w:rFonts w:ascii="仿宋" w:hAnsi="仿宋" w:cs="仿宋"/>
        </w:rPr>
        <w:t>全国和省人力资源和社会保障厅组织的</w:t>
      </w:r>
      <w:r>
        <w:rPr>
          <w:rFonts w:hint="eastAsia" w:ascii="仿宋" w:hAnsi="仿宋" w:cs="仿宋"/>
        </w:rPr>
        <w:t>教师教学能力提升培训4人次48学时；参加辽宁省教育厅组织的教师职业能力培训4人次学期1个月</w:t>
      </w:r>
      <w:r>
        <w:rPr>
          <w:rFonts w:hint="eastAsia" w:ascii="仿宋" w:hAnsi="仿宋" w:cs="仿宋"/>
          <w:lang w:eastAsia="zh-CN"/>
        </w:rPr>
        <w:t>；</w:t>
      </w:r>
      <w:r>
        <w:rPr>
          <w:rFonts w:hint="eastAsia" w:ascii="仿宋" w:hAnsi="仿宋" w:cs="仿宋"/>
        </w:rPr>
        <w:t>辽宁省教育厅组织的管理能力提升培训1人次32学时；收看网络直播培训2学时；</w:t>
      </w:r>
      <w:r>
        <w:rPr>
          <w:rFonts w:ascii="仿宋" w:hAnsi="仿宋" w:cs="仿宋"/>
        </w:rPr>
        <w:t>不断提高教师职业能力和教学能力。</w:t>
      </w:r>
    </w:p>
    <w:p>
      <w:pPr>
        <w:ind w:firstLine="640" w:firstLineChars="200"/>
        <w:rPr>
          <w:rFonts w:ascii="仿宋" w:hAnsi="仿宋" w:cs="仿宋"/>
        </w:rPr>
      </w:pPr>
      <w:r>
        <w:rPr>
          <w:rFonts w:hint="eastAsia" w:ascii="仿宋" w:hAnsi="仿宋" w:cs="仿宋"/>
        </w:rPr>
        <w:t>学院还外请专家培训4学时160人次；开展丰田金杯教学模式传承的专题培训校级2次、系部15次；</w:t>
      </w:r>
      <w:r>
        <w:rPr>
          <w:rFonts w:hint="eastAsia" w:ascii="仿宋" w:hAnsi="仿宋" w:cs="仿宋"/>
          <w:lang w:eastAsia="zh-CN"/>
        </w:rPr>
        <w:t>校内</w:t>
      </w:r>
      <w:r>
        <w:rPr>
          <w:rFonts w:hint="eastAsia" w:ascii="仿宋" w:hAnsi="仿宋" w:cs="仿宋"/>
        </w:rPr>
        <w:t>开展的竞赛交流会40人次和教师教学竞赛赛前以赛促培的小型培训28人次。</w:t>
      </w:r>
    </w:p>
    <w:p>
      <w:pPr>
        <w:ind w:firstLine="640" w:firstLineChars="200"/>
        <w:rPr>
          <w:rFonts w:ascii="仿宋" w:hAnsi="仿宋" w:cs="仿宋"/>
        </w:rPr>
      </w:pPr>
      <w:r>
        <w:rPr>
          <w:rFonts w:ascii="仿宋" w:hAnsi="仿宋" w:cs="仿宋"/>
        </w:rPr>
        <w:t>此外，学院还充分利用国家级技能大师工作室开展技艺传承，技能竞赛选手选拔、训练。鼓励教师积极承担省部级职业教育相关的课题研究，并出台相关奖励政策为教师教研水平提升、专业技能提高提供支撑。</w:t>
      </w:r>
    </w:p>
    <w:p>
      <w:pPr>
        <w:rPr>
          <w:rFonts w:ascii="仿宋" w:hAnsi="仿宋" w:cs="仿宋"/>
          <w:b/>
          <w:szCs w:val="32"/>
        </w:rPr>
      </w:pPr>
      <w:r>
        <w:rPr>
          <w:rFonts w:hint="eastAsia" w:ascii="仿宋" w:hAnsi="仿宋" w:cs="仿宋"/>
          <w:b/>
          <w:szCs w:val="32"/>
        </w:rPr>
        <w:t>3.4规范管理情况</w:t>
      </w:r>
    </w:p>
    <w:p>
      <w:pPr>
        <w:ind w:firstLine="640" w:firstLineChars="200"/>
        <w:rPr>
          <w:rFonts w:ascii="仿宋" w:hAnsi="仿宋" w:cs="仿宋"/>
        </w:rPr>
      </w:pPr>
      <w:r>
        <w:rPr>
          <w:rFonts w:hint="eastAsia" w:ascii="仿宋" w:hAnsi="仿宋" w:cs="仿宋"/>
        </w:rPr>
        <w:t>学院于2003年通过了ISO9001:2000质量管理体系认证，推行全面质量管理。按照ISO9001:2000质量管理标准要求，建立了128个管理标准、47个岗位工作标准和113个工作流程图，形成了标准化文件体系。体系涵盖了方针目标管理、计划管理、培训管理、教学管理、学生管理、劳动人事管理、安技设备管理、物资管理、总务后勤管理、思想政治工作管理、档案管理等各个方面。通过质量管理体系的运行，实行全员参与、全方位、全过程的教学质量管理服务，实现了教学、管理、服务的科学化、法制化、标准化和规范化。</w:t>
      </w:r>
    </w:p>
    <w:p>
      <w:pPr>
        <w:ind w:firstLine="640"/>
        <w:jc w:val="both"/>
        <w:rPr>
          <w:rFonts w:ascii="仿宋" w:hAnsi="仿宋" w:cs="仿宋"/>
        </w:rPr>
      </w:pPr>
      <w:r>
        <w:rPr>
          <w:rFonts w:hint="eastAsia" w:ascii="仿宋" w:hAnsi="仿宋" w:cs="仿宋"/>
        </w:rPr>
        <w:t>在教学管理控制方面，学院实行院、系（部、厂）、室三级教学控制管理，成立了院务委员会、安全管理委员会、教学质量监控小组、教学督导小组，全面负责教学运行管理控制工作。通过教务例会、教研室例会、期中教学检查、学生座谈会等会议制度，及时反馈教学运行中存在的问题并落实整改。通过说课、示范课、公开课、创建精品课等教研活动，不断提高教师授课水平和教研能力。</w:t>
      </w:r>
    </w:p>
    <w:p>
      <w:pPr>
        <w:ind w:firstLine="640"/>
        <w:jc w:val="both"/>
        <w:rPr>
          <w:rFonts w:ascii="仿宋" w:hAnsi="仿宋" w:cs="仿宋"/>
        </w:rPr>
      </w:pPr>
      <w:r>
        <w:rPr>
          <w:rFonts w:hint="eastAsia" w:ascii="仿宋" w:hAnsi="仿宋" w:cs="仿宋"/>
        </w:rPr>
        <w:t>在风险防控和安全管理方面，学院按照主管公司《实施内部管理控制制度》和国资委《企业内部控制应用指引》、《企业内部控制评价指引》的要求，开展预防和应对风险工作。成立了由党委书记、院长为第一责任人，由各部门负责人和法律专家为成员的内控管理机构，负责组织开展预防和应对风险及其内控评价工作。</w:t>
      </w:r>
    </w:p>
    <w:p>
      <w:pPr>
        <w:ind w:firstLine="640"/>
        <w:jc w:val="both"/>
        <w:rPr>
          <w:rFonts w:ascii="仿宋" w:hAnsi="仿宋" w:cs="仿宋"/>
          <w:szCs w:val="32"/>
          <w:highlight w:val="yellow"/>
        </w:rPr>
      </w:pPr>
      <w:r>
        <w:rPr>
          <w:rFonts w:hint="eastAsia" w:ascii="仿宋" w:hAnsi="仿宋" w:cs="仿宋"/>
          <w:szCs w:val="32"/>
        </w:rPr>
        <w:t>坚持依法治校，科学规范管理。建立法律顾问制度。聘请同城金达律师事务所律师为学院法律顾问。按照申华公司的要求，实施OA办公自动化。完善和规范学院招标采购流程。认真落实安全生产主体责任，全面加强安全管理工作。重点抓好重大项目建设施工安全、校园安全、教学安全、食品安全、交通安全和消防安全等方面的工作，对重点区域、重点时段定期开展校园安全防范。认真组织开展安全生产月活动，定期组织开展防汛、反恐、灭火、疏散逃生等演练，截止目前未发生一起重大安全责任事故。</w:t>
      </w:r>
    </w:p>
    <w:p>
      <w:pPr>
        <w:rPr>
          <w:rFonts w:ascii="仿宋" w:hAnsi="仿宋" w:cs="仿宋"/>
          <w:b/>
          <w:szCs w:val="32"/>
        </w:rPr>
      </w:pPr>
      <w:r>
        <w:rPr>
          <w:rFonts w:hint="eastAsia" w:ascii="仿宋" w:hAnsi="仿宋" w:cs="仿宋"/>
          <w:b/>
          <w:szCs w:val="32"/>
        </w:rPr>
        <w:t>3.5德育工作情况</w:t>
      </w:r>
    </w:p>
    <w:p>
      <w:pPr>
        <w:ind w:firstLine="656" w:firstLineChars="205"/>
        <w:rPr>
          <w:rFonts w:ascii="仿宋" w:hAnsi="仿宋" w:cs="仿宋"/>
          <w:kern w:val="0"/>
          <w:szCs w:val="32"/>
        </w:rPr>
      </w:pPr>
      <w:r>
        <w:rPr>
          <w:rFonts w:hint="eastAsia" w:ascii="仿宋" w:hAnsi="仿宋" w:cs="仿宋"/>
          <w:szCs w:val="32"/>
        </w:rPr>
        <w:t>学院始终坚持</w:t>
      </w:r>
      <w:r>
        <w:rPr>
          <w:rFonts w:hint="eastAsia" w:ascii="仿宋" w:hAnsi="仿宋" w:cs="仿宋"/>
          <w:kern w:val="0"/>
          <w:szCs w:val="32"/>
        </w:rPr>
        <w:t>以人为本，</w:t>
      </w:r>
      <w:r>
        <w:rPr>
          <w:rFonts w:hint="eastAsia" w:ascii="仿宋" w:hAnsi="仿宋" w:cs="仿宋"/>
          <w:szCs w:val="32"/>
        </w:rPr>
        <w:t>立德树人的原则，</w:t>
      </w:r>
      <w:r>
        <w:rPr>
          <w:rFonts w:hint="eastAsia" w:ascii="仿宋" w:hAnsi="仿宋" w:cs="仿宋"/>
          <w:kern w:val="0"/>
          <w:szCs w:val="32"/>
        </w:rPr>
        <w:t>遵循学生身心发展的特点和规律，不断创新德育工作新方法。</w:t>
      </w:r>
    </w:p>
    <w:p>
      <w:pPr>
        <w:ind w:firstLine="640"/>
        <w:jc w:val="both"/>
        <w:rPr>
          <w:rFonts w:ascii="仿宋" w:hAnsi="仿宋" w:cs="仿宋"/>
        </w:rPr>
      </w:pPr>
      <w:r>
        <w:rPr>
          <w:rFonts w:hint="eastAsia" w:ascii="仿宋" w:hAnsi="仿宋" w:cs="仿宋"/>
        </w:rPr>
        <w:t>以德育主课堂为育人核心。依据教育部2008年12月印发的《关于中等职业学校德育课课程设置与教学安排的意见》和《中等职业学校德育课课程教学大纲》等文件精神，将德育课分为必修课和选修课两部分，并且保证总课时不少于64学时。在课程设置方面，坚持德育教育从新生的知礼明行为切入点，以知法懂法为侧重点。德育课各门课程教学大纲的制定注重体现职业教育的特点，注重遵循“贴近实际、贴近生活、贴近学生”的原则，切实增强针对性、实效性和时代感，培养学生树立正确的价值观、人生观和世界观。使学生在具备良好道德品质的基础上学会规划人生，追寻幸福生活。</w:t>
      </w:r>
    </w:p>
    <w:p>
      <w:pPr>
        <w:ind w:firstLine="640"/>
        <w:jc w:val="both"/>
        <w:rPr>
          <w:rFonts w:ascii="仿宋" w:hAnsi="仿宋" w:cs="仿宋"/>
        </w:rPr>
      </w:pPr>
      <w:r>
        <w:rPr>
          <w:rFonts w:hint="eastAsia" w:ascii="仿宋" w:hAnsi="仿宋" w:cs="仿宋"/>
        </w:rPr>
        <w:t>制定中职《家校联育手册》，进一步拉近了学校与学生家庭的距离，在家与校之间有了更加具体的沟通联系，在对学生的教育上提高了共识。</w:t>
      </w:r>
    </w:p>
    <w:p>
      <w:pPr>
        <w:ind w:firstLine="640"/>
        <w:jc w:val="both"/>
        <w:rPr>
          <w:rFonts w:ascii="仿宋" w:hAnsi="仿宋" w:cs="仿宋"/>
        </w:rPr>
      </w:pPr>
      <w:r>
        <w:rPr>
          <w:rFonts w:hint="eastAsia" w:ascii="仿宋" w:hAnsi="仿宋" w:cs="仿宋"/>
        </w:rPr>
        <w:t>以主题教育活动为育人载体，通过主题升旗仪式、主题班团会、公益劳动实践周、做文明</w:t>
      </w:r>
      <w:r>
        <w:rPr>
          <w:rFonts w:ascii="仿宋" w:hAnsi="仿宋" w:cs="仿宋"/>
        </w:rPr>
        <w:t>学生</w:t>
      </w:r>
      <w:r>
        <w:rPr>
          <w:rFonts w:hint="eastAsia" w:ascii="仿宋" w:hAnsi="仿宋" w:cs="仿宋"/>
        </w:rPr>
        <w:t>主题</w:t>
      </w:r>
      <w:r>
        <w:rPr>
          <w:rFonts w:ascii="仿宋" w:hAnsi="仿宋" w:cs="仿宋"/>
        </w:rPr>
        <w:t>班会</w:t>
      </w:r>
      <w:r>
        <w:rPr>
          <w:rFonts w:hint="eastAsia" w:ascii="仿宋" w:hAnsi="仿宋" w:cs="仿宋"/>
        </w:rPr>
        <w:t>、学生违纪案例警示教育、住宿生纪律教育，</w:t>
      </w:r>
      <w:r>
        <w:rPr>
          <w:rFonts w:ascii="仿宋" w:hAnsi="仿宋" w:cs="仿宋"/>
        </w:rPr>
        <w:t>校园贷的风险与防范</w:t>
      </w:r>
      <w:r>
        <w:rPr>
          <w:rFonts w:hint="eastAsia" w:ascii="仿宋" w:hAnsi="仿宋" w:cs="仿宋"/>
        </w:rPr>
        <w:t>等专题教育活动、“优秀毕业生回校与学生面对面交流”主题演讲、广播操</w:t>
      </w:r>
      <w:r>
        <w:rPr>
          <w:rFonts w:ascii="仿宋" w:hAnsi="仿宋" w:cs="仿宋"/>
        </w:rPr>
        <w:t>比赛</w:t>
      </w:r>
      <w:r>
        <w:rPr>
          <w:rFonts w:hint="eastAsia" w:ascii="仿宋" w:hAnsi="仿宋" w:cs="仿宋"/>
        </w:rPr>
        <w:t>等主题鲜明、形式多样的教育活动强化学生的行为养成，全面提升学生综合素质。</w:t>
      </w:r>
    </w:p>
    <w:p>
      <w:pPr>
        <w:jc w:val="center"/>
        <w:rPr>
          <w:rFonts w:hint="eastAsia" w:ascii="仿宋" w:hAnsi="仿宋" w:cs="仿宋"/>
          <w:kern w:val="0"/>
          <w:sz w:val="28"/>
          <w:szCs w:val="28"/>
        </w:rPr>
      </w:pPr>
    </w:p>
    <w:p>
      <w:pPr>
        <w:jc w:val="center"/>
        <w:rPr>
          <w:rFonts w:ascii="仿宋" w:hAnsi="仿宋" w:cs="仿宋"/>
          <w:kern w:val="0"/>
          <w:sz w:val="28"/>
          <w:szCs w:val="28"/>
        </w:rPr>
      </w:pPr>
      <w:bookmarkStart w:id="0" w:name="_GoBack"/>
      <w:bookmarkEnd w:id="0"/>
      <w:r>
        <w:rPr>
          <w:rFonts w:hint="eastAsia" w:ascii="仿宋" w:hAnsi="仿宋" w:cs="仿宋"/>
          <w:kern w:val="0"/>
          <w:sz w:val="28"/>
          <w:szCs w:val="28"/>
        </w:rPr>
        <w:t>表</w:t>
      </w:r>
      <w:r>
        <w:rPr>
          <w:rFonts w:hint="eastAsia" w:ascii="仿宋" w:hAnsi="仿宋" w:cs="仿宋"/>
          <w:kern w:val="0"/>
          <w:sz w:val="28"/>
          <w:szCs w:val="28"/>
          <w:lang w:val="en-US" w:eastAsia="zh-CN"/>
        </w:rPr>
        <w:t>8</w:t>
      </w:r>
      <w:r>
        <w:rPr>
          <w:rFonts w:hint="eastAsia" w:ascii="仿宋" w:hAnsi="仿宋" w:cs="仿宋"/>
          <w:kern w:val="0"/>
          <w:sz w:val="28"/>
          <w:szCs w:val="28"/>
        </w:rPr>
        <w:t xml:space="preserve"> 201</w:t>
      </w:r>
      <w:r>
        <w:rPr>
          <w:rFonts w:ascii="仿宋" w:hAnsi="仿宋" w:cs="仿宋"/>
          <w:kern w:val="0"/>
          <w:sz w:val="28"/>
          <w:szCs w:val="28"/>
        </w:rPr>
        <w:t>8</w:t>
      </w:r>
      <w:r>
        <w:rPr>
          <w:rFonts w:hint="eastAsia" w:ascii="仿宋" w:hAnsi="仿宋" w:cs="仿宋"/>
          <w:kern w:val="0"/>
          <w:sz w:val="28"/>
          <w:szCs w:val="28"/>
        </w:rPr>
        <w:t>年素质教育活动主题</w:t>
      </w:r>
    </w:p>
    <w:tbl>
      <w:tblPr>
        <w:tblStyle w:val="12"/>
        <w:tblW w:w="89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4073"/>
        <w:gridCol w:w="1036"/>
        <w:gridCol w:w="3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jc w:val="center"/>
        </w:trPr>
        <w:tc>
          <w:tcPr>
            <w:tcW w:w="728" w:type="dxa"/>
            <w:shd w:val="clear" w:color="auto" w:fill="auto"/>
            <w:vAlign w:val="center"/>
          </w:tcPr>
          <w:p>
            <w:pPr>
              <w:spacing w:line="240" w:lineRule="auto"/>
              <w:jc w:val="center"/>
              <w:rPr>
                <w:rFonts w:ascii="仿宋_GB2312" w:hAnsi="宋体" w:eastAsia="仿宋_GB2312" w:cs="宋体"/>
                <w:b/>
                <w:kern w:val="0"/>
                <w:sz w:val="24"/>
                <w:szCs w:val="24"/>
              </w:rPr>
            </w:pPr>
            <w:r>
              <w:rPr>
                <w:rFonts w:hint="eastAsia" w:ascii="仿宋" w:hAnsi="仿宋" w:cs="仿宋"/>
                <w:b/>
                <w:kern w:val="0"/>
                <w:sz w:val="24"/>
                <w:szCs w:val="24"/>
              </w:rPr>
              <w:t>月份</w:t>
            </w:r>
          </w:p>
        </w:tc>
        <w:tc>
          <w:tcPr>
            <w:tcW w:w="4073" w:type="dxa"/>
            <w:shd w:val="clear" w:color="auto" w:fill="auto"/>
            <w:vAlign w:val="center"/>
          </w:tcPr>
          <w:p>
            <w:pPr>
              <w:spacing w:line="240" w:lineRule="auto"/>
              <w:jc w:val="center"/>
              <w:rPr>
                <w:rFonts w:ascii="仿宋" w:hAnsi="仿宋" w:cs="仿宋"/>
                <w:b/>
                <w:kern w:val="0"/>
                <w:sz w:val="24"/>
                <w:szCs w:val="24"/>
              </w:rPr>
            </w:pPr>
            <w:r>
              <w:rPr>
                <w:rFonts w:hint="eastAsia" w:ascii="仿宋" w:hAnsi="仿宋" w:cs="仿宋"/>
                <w:b/>
                <w:kern w:val="0"/>
                <w:sz w:val="24"/>
                <w:szCs w:val="24"/>
              </w:rPr>
              <w:t>素质教育活动主题</w:t>
            </w:r>
          </w:p>
        </w:tc>
        <w:tc>
          <w:tcPr>
            <w:tcW w:w="1036" w:type="dxa"/>
            <w:shd w:val="clear" w:color="auto" w:fill="auto"/>
            <w:vAlign w:val="center"/>
          </w:tcPr>
          <w:p>
            <w:pPr>
              <w:spacing w:line="240" w:lineRule="auto"/>
              <w:jc w:val="center"/>
              <w:rPr>
                <w:rFonts w:ascii="仿宋" w:hAnsi="仿宋" w:cs="仿宋"/>
                <w:b/>
                <w:kern w:val="0"/>
                <w:sz w:val="24"/>
                <w:szCs w:val="24"/>
              </w:rPr>
            </w:pPr>
            <w:r>
              <w:rPr>
                <w:rFonts w:hint="eastAsia" w:ascii="仿宋" w:hAnsi="仿宋" w:cs="仿宋"/>
                <w:b/>
                <w:kern w:val="0"/>
                <w:sz w:val="24"/>
                <w:szCs w:val="24"/>
              </w:rPr>
              <w:t>月份</w:t>
            </w:r>
          </w:p>
        </w:tc>
        <w:tc>
          <w:tcPr>
            <w:tcW w:w="3075" w:type="dxa"/>
            <w:shd w:val="clear" w:color="auto" w:fill="auto"/>
            <w:vAlign w:val="center"/>
          </w:tcPr>
          <w:p>
            <w:pPr>
              <w:spacing w:line="240" w:lineRule="auto"/>
              <w:jc w:val="center"/>
              <w:rPr>
                <w:rFonts w:ascii="仿宋" w:hAnsi="仿宋" w:cs="仿宋"/>
                <w:b/>
                <w:kern w:val="0"/>
                <w:sz w:val="24"/>
                <w:szCs w:val="24"/>
              </w:rPr>
            </w:pPr>
            <w:r>
              <w:rPr>
                <w:rFonts w:hint="eastAsia" w:ascii="仿宋" w:hAnsi="仿宋" w:cs="仿宋"/>
                <w:b/>
                <w:kern w:val="0"/>
                <w:sz w:val="24"/>
                <w:szCs w:val="24"/>
              </w:rPr>
              <w:t>素质教育活动主题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8" w:type="dxa"/>
            <w:shd w:val="clear" w:color="auto" w:fill="auto"/>
            <w:vAlign w:val="center"/>
          </w:tcPr>
          <w:p>
            <w:pPr>
              <w:spacing w:line="240" w:lineRule="auto"/>
              <w:jc w:val="center"/>
              <w:rPr>
                <w:rFonts w:ascii="仿宋_GB2312" w:hAnsi="宋体" w:eastAsia="仿宋_GB2312" w:cs="宋体"/>
                <w:kern w:val="0"/>
                <w:sz w:val="24"/>
                <w:szCs w:val="24"/>
              </w:rPr>
            </w:pPr>
            <w:r>
              <w:rPr>
                <w:rFonts w:hint="eastAsia" w:ascii="仿宋" w:hAnsi="仿宋" w:cs="仿宋"/>
                <w:kern w:val="0"/>
                <w:sz w:val="24"/>
                <w:szCs w:val="24"/>
              </w:rPr>
              <w:t>三月</w:t>
            </w:r>
          </w:p>
        </w:tc>
        <w:tc>
          <w:tcPr>
            <w:tcW w:w="4073" w:type="dxa"/>
            <w:shd w:val="clear" w:color="auto" w:fill="auto"/>
            <w:vAlign w:val="center"/>
          </w:tcPr>
          <w:p>
            <w:pPr>
              <w:snapToGrid w:val="0"/>
              <w:spacing w:line="240" w:lineRule="auto"/>
              <w:jc w:val="center"/>
              <w:rPr>
                <w:rFonts w:ascii="仿宋" w:hAnsi="仿宋" w:cs="仿宋"/>
                <w:kern w:val="0"/>
                <w:sz w:val="24"/>
                <w:szCs w:val="24"/>
              </w:rPr>
            </w:pPr>
            <w:r>
              <w:rPr>
                <w:rFonts w:hint="eastAsia" w:ascii="仿宋" w:hAnsi="仿宋" w:cs="仿宋"/>
                <w:color w:val="000000"/>
                <w:kern w:val="0"/>
                <w:sz w:val="24"/>
                <w:szCs w:val="24"/>
              </w:rPr>
              <w:t>《做文明学生》</w:t>
            </w:r>
            <w:r>
              <w:rPr>
                <w:rFonts w:hint="eastAsia" w:ascii="仿宋" w:hAnsi="仿宋" w:cs="仿宋"/>
                <w:kern w:val="0"/>
                <w:sz w:val="24"/>
                <w:szCs w:val="24"/>
              </w:rPr>
              <w:t>主题班会</w:t>
            </w:r>
            <w:r>
              <w:rPr>
                <w:rFonts w:hint="eastAsia" w:ascii="仿宋" w:hAnsi="仿宋" w:cs="仿宋"/>
                <w:color w:val="000000"/>
                <w:kern w:val="0"/>
                <w:sz w:val="24"/>
                <w:szCs w:val="24"/>
              </w:rPr>
              <w:t>及推荐评选文明学生活动</w:t>
            </w:r>
          </w:p>
        </w:tc>
        <w:tc>
          <w:tcPr>
            <w:tcW w:w="1036" w:type="dxa"/>
            <w:shd w:val="clear" w:color="auto" w:fill="auto"/>
            <w:vAlign w:val="center"/>
          </w:tcPr>
          <w:p>
            <w:pPr>
              <w:spacing w:line="240" w:lineRule="auto"/>
              <w:jc w:val="center"/>
            </w:pPr>
            <w:r>
              <w:rPr>
                <w:rFonts w:hint="eastAsia" w:ascii="仿宋" w:hAnsi="仿宋" w:cs="仿宋"/>
                <w:kern w:val="0"/>
                <w:sz w:val="24"/>
                <w:szCs w:val="24"/>
              </w:rPr>
              <w:t>十月</w:t>
            </w:r>
          </w:p>
        </w:tc>
        <w:tc>
          <w:tcPr>
            <w:tcW w:w="3075" w:type="dxa"/>
            <w:shd w:val="clear" w:color="auto" w:fill="auto"/>
            <w:vAlign w:val="center"/>
          </w:tcPr>
          <w:p>
            <w:pPr>
              <w:snapToGrid w:val="0"/>
              <w:spacing w:line="240" w:lineRule="auto"/>
              <w:jc w:val="center"/>
            </w:pPr>
            <w:r>
              <w:rPr>
                <w:rFonts w:hint="eastAsia" w:ascii="仿宋" w:hAnsi="仿宋" w:cs="仿宋"/>
                <w:kern w:val="0"/>
                <w:sz w:val="24"/>
                <w:szCs w:val="24"/>
              </w:rPr>
              <w:t>住宿生纪律教育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8" w:type="dxa"/>
            <w:shd w:val="clear" w:color="auto" w:fill="auto"/>
            <w:vAlign w:val="center"/>
          </w:tcPr>
          <w:p>
            <w:pPr>
              <w:spacing w:line="240" w:lineRule="auto"/>
              <w:jc w:val="center"/>
              <w:rPr>
                <w:rFonts w:ascii="仿宋_GB2312" w:hAnsi="宋体" w:eastAsia="仿宋_GB2312" w:cs="宋体"/>
                <w:kern w:val="0"/>
                <w:sz w:val="24"/>
                <w:szCs w:val="24"/>
              </w:rPr>
            </w:pPr>
            <w:r>
              <w:rPr>
                <w:rFonts w:hint="eastAsia" w:ascii="仿宋" w:hAnsi="仿宋" w:cs="仿宋"/>
                <w:kern w:val="0"/>
                <w:sz w:val="24"/>
                <w:szCs w:val="24"/>
              </w:rPr>
              <w:t>四月</w:t>
            </w:r>
          </w:p>
        </w:tc>
        <w:tc>
          <w:tcPr>
            <w:tcW w:w="4073" w:type="dxa"/>
            <w:shd w:val="clear" w:color="auto" w:fill="auto"/>
            <w:vAlign w:val="center"/>
          </w:tcPr>
          <w:p>
            <w:pPr>
              <w:spacing w:line="240" w:lineRule="auto"/>
              <w:jc w:val="center"/>
              <w:rPr>
                <w:rFonts w:ascii="仿宋" w:hAnsi="仿宋" w:cs="仿宋"/>
                <w:kern w:val="0"/>
                <w:sz w:val="24"/>
                <w:szCs w:val="24"/>
              </w:rPr>
            </w:pPr>
            <w:r>
              <w:rPr>
                <w:rFonts w:hint="eastAsia" w:ascii="仿宋" w:hAnsi="仿宋" w:cs="仿宋"/>
                <w:kern w:val="0"/>
                <w:sz w:val="24"/>
                <w:szCs w:val="24"/>
              </w:rPr>
              <w:t>校园贷的风险与防范等专题教育活动</w:t>
            </w:r>
          </w:p>
          <w:p>
            <w:pPr>
              <w:snapToGrid w:val="0"/>
              <w:spacing w:line="240" w:lineRule="auto"/>
              <w:jc w:val="center"/>
              <w:rPr>
                <w:rFonts w:ascii="仿宋" w:hAnsi="仿宋" w:cs="仿宋"/>
                <w:kern w:val="0"/>
                <w:sz w:val="24"/>
                <w:szCs w:val="24"/>
              </w:rPr>
            </w:pPr>
            <w:r>
              <w:rPr>
                <w:rFonts w:hint="eastAsia" w:ascii="仿宋" w:hAnsi="仿宋" w:cs="仿宋"/>
                <w:kern w:val="0"/>
                <w:sz w:val="24"/>
                <w:szCs w:val="24"/>
              </w:rPr>
              <w:t>开展“杜绝乱扔垃圾，美化校园环境”活动</w:t>
            </w:r>
          </w:p>
        </w:tc>
        <w:tc>
          <w:tcPr>
            <w:tcW w:w="1036" w:type="dxa"/>
            <w:shd w:val="clear" w:color="auto" w:fill="auto"/>
            <w:vAlign w:val="center"/>
          </w:tcPr>
          <w:p>
            <w:pPr>
              <w:spacing w:line="240" w:lineRule="auto"/>
              <w:jc w:val="center"/>
              <w:rPr>
                <w:rFonts w:ascii="仿宋" w:hAnsi="仿宋" w:cs="仿宋"/>
                <w:kern w:val="0"/>
                <w:sz w:val="24"/>
                <w:szCs w:val="24"/>
              </w:rPr>
            </w:pPr>
            <w:r>
              <w:rPr>
                <w:rFonts w:hint="eastAsia" w:ascii="仿宋" w:hAnsi="仿宋" w:cs="仿宋"/>
                <w:kern w:val="0"/>
                <w:sz w:val="24"/>
                <w:szCs w:val="24"/>
              </w:rPr>
              <w:t>十一月</w:t>
            </w:r>
          </w:p>
        </w:tc>
        <w:tc>
          <w:tcPr>
            <w:tcW w:w="3075" w:type="dxa"/>
            <w:shd w:val="clear" w:color="auto" w:fill="auto"/>
            <w:vAlign w:val="center"/>
          </w:tcPr>
          <w:p>
            <w:pPr>
              <w:spacing w:line="240" w:lineRule="auto"/>
              <w:jc w:val="center"/>
              <w:rPr>
                <w:rFonts w:ascii="仿宋" w:hAnsi="仿宋" w:cs="仿宋"/>
                <w:color w:val="000000"/>
                <w:kern w:val="0"/>
                <w:sz w:val="24"/>
                <w:szCs w:val="24"/>
              </w:rPr>
            </w:pPr>
            <w:r>
              <w:rPr>
                <w:rFonts w:hint="eastAsia" w:ascii="仿宋" w:hAnsi="仿宋" w:cs="仿宋"/>
                <w:color w:val="000000"/>
                <w:kern w:val="0"/>
                <w:sz w:val="24"/>
                <w:szCs w:val="24"/>
              </w:rPr>
              <w:t>学生</w:t>
            </w:r>
            <w:r>
              <w:rPr>
                <w:rFonts w:hint="eastAsia" w:ascii="仿宋" w:hAnsi="仿宋" w:cs="仿宋"/>
                <w:kern w:val="0"/>
                <w:sz w:val="24"/>
                <w:szCs w:val="24"/>
              </w:rPr>
              <w:t>违纪</w:t>
            </w:r>
            <w:r>
              <w:rPr>
                <w:rFonts w:hint="eastAsia" w:ascii="仿宋" w:hAnsi="仿宋" w:cs="仿宋"/>
                <w:color w:val="000000"/>
                <w:kern w:val="0"/>
                <w:sz w:val="24"/>
                <w:szCs w:val="24"/>
              </w:rPr>
              <w:t>案例警示教育</w:t>
            </w:r>
          </w:p>
          <w:p>
            <w:pPr>
              <w:snapToGrid w:val="0"/>
              <w:spacing w:line="240" w:lineRule="auto"/>
              <w:jc w:val="center"/>
              <w:rPr>
                <w:rFonts w:hint="eastAsia" w:ascii="仿宋" w:hAnsi="仿宋" w:cs="仿宋"/>
                <w:kern w:val="0"/>
                <w:sz w:val="24"/>
                <w:szCs w:val="24"/>
              </w:rPr>
            </w:pPr>
            <w:r>
              <w:rPr>
                <w:rFonts w:hint="eastAsia" w:ascii="仿宋" w:hAnsi="仿宋" w:cs="仿宋"/>
                <w:kern w:val="0"/>
                <w:sz w:val="24"/>
                <w:szCs w:val="24"/>
              </w:rPr>
              <w:t>组织开展了宿舍文化节</w:t>
            </w:r>
          </w:p>
          <w:p>
            <w:pPr>
              <w:snapToGrid w:val="0"/>
              <w:spacing w:line="240" w:lineRule="auto"/>
              <w:jc w:val="center"/>
              <w:rPr>
                <w:rFonts w:ascii="仿宋" w:hAnsi="仿宋" w:cs="仿宋"/>
                <w:kern w:val="0"/>
                <w:sz w:val="24"/>
                <w:szCs w:val="24"/>
              </w:rPr>
            </w:pPr>
            <w:r>
              <w:rPr>
                <w:rFonts w:hint="eastAsia" w:ascii="仿宋" w:hAnsi="仿宋" w:cs="仿宋"/>
                <w:kern w:val="0"/>
                <w:sz w:val="24"/>
                <w:szCs w:val="24"/>
              </w:rPr>
              <w:t>系列活动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8" w:type="dxa"/>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五月</w:t>
            </w:r>
          </w:p>
        </w:tc>
        <w:tc>
          <w:tcPr>
            <w:tcW w:w="4073" w:type="dxa"/>
            <w:shd w:val="clear" w:color="auto" w:fill="auto"/>
            <w:vAlign w:val="center"/>
          </w:tcPr>
          <w:p>
            <w:pPr>
              <w:spacing w:line="240" w:lineRule="auto"/>
              <w:jc w:val="center"/>
              <w:rPr>
                <w:rFonts w:ascii="仿宋" w:hAnsi="仿宋" w:cs="仿宋"/>
                <w:color w:val="000000"/>
                <w:kern w:val="0"/>
                <w:sz w:val="24"/>
                <w:szCs w:val="24"/>
              </w:rPr>
            </w:pPr>
            <w:r>
              <w:rPr>
                <w:rFonts w:hint="eastAsia" w:ascii="仿宋" w:hAnsi="仿宋" w:cs="仿宋"/>
                <w:color w:val="000000"/>
                <w:kern w:val="0"/>
                <w:sz w:val="24"/>
                <w:szCs w:val="24"/>
              </w:rPr>
              <w:t>开展职业教育宣传月的学生活动</w:t>
            </w:r>
          </w:p>
          <w:p>
            <w:pPr>
              <w:snapToGrid w:val="0"/>
              <w:spacing w:line="240" w:lineRule="auto"/>
              <w:jc w:val="center"/>
              <w:rPr>
                <w:rFonts w:ascii="仿宋" w:hAnsi="仿宋" w:cs="仿宋"/>
                <w:kern w:val="0"/>
                <w:sz w:val="24"/>
                <w:szCs w:val="24"/>
              </w:rPr>
            </w:pPr>
            <w:r>
              <w:rPr>
                <w:rFonts w:hint="eastAsia" w:ascii="仿宋" w:hAnsi="仿宋" w:cs="仿宋"/>
                <w:kern w:val="0"/>
                <w:sz w:val="24"/>
                <w:szCs w:val="24"/>
              </w:rPr>
              <w:t>优秀毕业生回校与学生面对面交流</w:t>
            </w:r>
          </w:p>
          <w:p>
            <w:pPr>
              <w:spacing w:line="240" w:lineRule="auto"/>
              <w:jc w:val="center"/>
              <w:rPr>
                <w:rFonts w:ascii="仿宋" w:hAnsi="仿宋" w:cs="仿宋"/>
                <w:kern w:val="0"/>
                <w:sz w:val="24"/>
                <w:szCs w:val="24"/>
              </w:rPr>
            </w:pPr>
            <w:r>
              <w:rPr>
                <w:rFonts w:hint="eastAsia" w:ascii="仿宋" w:hAnsi="仿宋" w:cs="仿宋"/>
                <w:kern w:val="0"/>
                <w:sz w:val="24"/>
                <w:szCs w:val="24"/>
              </w:rPr>
              <w:t>17级技师学生广播操比赛</w:t>
            </w:r>
          </w:p>
        </w:tc>
        <w:tc>
          <w:tcPr>
            <w:tcW w:w="1036" w:type="dxa"/>
            <w:shd w:val="clear" w:color="auto" w:fill="auto"/>
            <w:vAlign w:val="center"/>
          </w:tcPr>
          <w:p>
            <w:pPr>
              <w:spacing w:line="240" w:lineRule="auto"/>
              <w:jc w:val="center"/>
              <w:rPr>
                <w:rFonts w:ascii="仿宋" w:hAnsi="仿宋" w:cs="仿宋"/>
                <w:kern w:val="0"/>
                <w:sz w:val="24"/>
                <w:szCs w:val="24"/>
              </w:rPr>
            </w:pPr>
            <w:r>
              <w:rPr>
                <w:rFonts w:hint="eastAsia" w:ascii="仿宋" w:hAnsi="仿宋" w:cs="仿宋"/>
                <w:kern w:val="0"/>
                <w:sz w:val="24"/>
                <w:szCs w:val="24"/>
              </w:rPr>
              <w:t>十二月</w:t>
            </w:r>
          </w:p>
        </w:tc>
        <w:tc>
          <w:tcPr>
            <w:tcW w:w="3075" w:type="dxa"/>
            <w:shd w:val="clear" w:color="auto" w:fill="auto"/>
            <w:vAlign w:val="center"/>
          </w:tcPr>
          <w:p>
            <w:pPr>
              <w:snapToGrid w:val="0"/>
              <w:spacing w:line="240" w:lineRule="auto"/>
              <w:jc w:val="center"/>
              <w:rPr>
                <w:rFonts w:hint="eastAsia" w:ascii="仿宋" w:hAnsi="仿宋" w:cs="仿宋"/>
                <w:color w:val="000000"/>
                <w:kern w:val="0"/>
                <w:sz w:val="24"/>
                <w:szCs w:val="24"/>
              </w:rPr>
            </w:pPr>
            <w:r>
              <w:rPr>
                <w:rFonts w:hint="eastAsia" w:ascii="仿宋" w:hAnsi="仿宋" w:cs="仿宋"/>
                <w:color w:val="000000"/>
                <w:kern w:val="0"/>
                <w:sz w:val="24"/>
                <w:szCs w:val="24"/>
              </w:rPr>
              <w:t>“青春</w:t>
            </w:r>
            <w:r>
              <w:rPr>
                <w:rFonts w:ascii="仿宋" w:hAnsi="仿宋" w:cs="仿宋"/>
                <w:color w:val="000000"/>
                <w:kern w:val="0"/>
                <w:sz w:val="24"/>
                <w:szCs w:val="24"/>
              </w:rPr>
              <w:t>无悔，梦想起航</w:t>
            </w:r>
            <w:r>
              <w:rPr>
                <w:rFonts w:hint="eastAsia" w:ascii="仿宋" w:hAnsi="仿宋" w:cs="仿宋"/>
                <w:color w:val="000000"/>
                <w:kern w:val="0"/>
                <w:sz w:val="24"/>
                <w:szCs w:val="24"/>
              </w:rPr>
              <w:t>”</w:t>
            </w:r>
          </w:p>
          <w:p>
            <w:pPr>
              <w:snapToGrid w:val="0"/>
              <w:spacing w:line="240" w:lineRule="auto"/>
              <w:jc w:val="center"/>
              <w:rPr>
                <w:rFonts w:ascii="仿宋" w:hAnsi="仿宋" w:cs="仿宋"/>
                <w:kern w:val="0"/>
                <w:sz w:val="24"/>
                <w:szCs w:val="24"/>
              </w:rPr>
            </w:pPr>
            <w:r>
              <w:rPr>
                <w:rFonts w:hint="eastAsia" w:ascii="仿宋" w:hAnsi="仿宋" w:cs="仿宋"/>
                <w:color w:val="000000"/>
                <w:kern w:val="0"/>
                <w:sz w:val="24"/>
                <w:szCs w:val="24"/>
              </w:rPr>
              <w:t>班级</w:t>
            </w:r>
            <w:r>
              <w:rPr>
                <w:rFonts w:ascii="仿宋" w:hAnsi="仿宋" w:cs="仿宋"/>
                <w:color w:val="000000"/>
                <w:kern w:val="0"/>
                <w:sz w:val="24"/>
                <w:szCs w:val="24"/>
              </w:rPr>
              <w:t>迎春活动</w:t>
            </w:r>
          </w:p>
        </w:tc>
      </w:tr>
    </w:tbl>
    <w:p>
      <w:pPr>
        <w:ind w:firstLine="640"/>
        <w:jc w:val="both"/>
        <w:rPr>
          <w:rFonts w:ascii="仿宋" w:hAnsi="仿宋" w:cs="仿宋"/>
        </w:rPr>
      </w:pPr>
      <w:r>
        <w:rPr>
          <w:rFonts w:hint="eastAsia" w:ascii="仿宋" w:hAnsi="仿宋" w:cs="仿宋"/>
        </w:rPr>
        <w:t xml:space="preserve">以文明风采活动为育人平台。把文明风采活动作为展示学生聪明才智的主要平台，鼓励、支持、指导学生通过才艺展示、征文演讲比赛、摄影比赛以及围绕《中等职业学校学生公约》内容制作视频展现出自身的闪光点，培养学生广泛的兴趣爱好，增强了学生的自信心和自豪感。通过文明风采活动的深入开展也不断总结积累开展学生特色活动的经验方法，促进德育工作效果的不断提升。 </w:t>
      </w:r>
    </w:p>
    <w:p>
      <w:pPr>
        <w:jc w:val="center"/>
        <w:rPr>
          <w:rFonts w:ascii="仿宋" w:hAnsi="仿宋" w:cs="仿宋"/>
          <w:kern w:val="0"/>
          <w:sz w:val="28"/>
          <w:szCs w:val="28"/>
        </w:rPr>
      </w:pPr>
      <w:r>
        <w:rPr>
          <w:rFonts w:hint="eastAsia" w:ascii="仿宋" w:hAnsi="仿宋" w:cs="仿宋"/>
          <w:kern w:val="0"/>
          <w:sz w:val="28"/>
          <w:szCs w:val="28"/>
        </w:rPr>
        <w:t>表</w:t>
      </w:r>
      <w:r>
        <w:rPr>
          <w:rFonts w:hint="eastAsia" w:ascii="仿宋" w:hAnsi="仿宋" w:cs="仿宋"/>
          <w:kern w:val="0"/>
          <w:sz w:val="28"/>
          <w:szCs w:val="28"/>
          <w:lang w:val="en-US" w:eastAsia="zh-CN"/>
        </w:rPr>
        <w:t xml:space="preserve">9  </w:t>
      </w:r>
      <w:r>
        <w:rPr>
          <w:rFonts w:hint="eastAsia" w:ascii="仿宋" w:hAnsi="仿宋" w:cs="仿宋"/>
          <w:kern w:val="0"/>
          <w:sz w:val="28"/>
          <w:szCs w:val="28"/>
        </w:rPr>
        <w:t>2018年度文明风采活动市赛</w:t>
      </w:r>
      <w:r>
        <w:rPr>
          <w:rFonts w:ascii="仿宋" w:hAnsi="仿宋" w:cs="仿宋"/>
          <w:kern w:val="0"/>
          <w:sz w:val="28"/>
          <w:szCs w:val="28"/>
        </w:rPr>
        <w:t>获奖</w:t>
      </w:r>
      <w:r>
        <w:rPr>
          <w:rFonts w:hint="eastAsia" w:ascii="仿宋" w:hAnsi="仿宋" w:cs="仿宋"/>
          <w:kern w:val="0"/>
          <w:sz w:val="28"/>
          <w:szCs w:val="28"/>
        </w:rPr>
        <w:t>作品汇集</w:t>
      </w:r>
    </w:p>
    <w:tbl>
      <w:tblPr>
        <w:tblStyle w:val="12"/>
        <w:tblW w:w="91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3"/>
        <w:gridCol w:w="1671"/>
        <w:gridCol w:w="1276"/>
        <w:gridCol w:w="1701"/>
        <w:gridCol w:w="116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0" w:hRule="atLeast"/>
          <w:jc w:val="center"/>
        </w:trPr>
        <w:tc>
          <w:tcPr>
            <w:tcW w:w="2183" w:type="dxa"/>
            <w:vAlign w:val="center"/>
          </w:tcPr>
          <w:p>
            <w:pPr>
              <w:spacing w:line="240" w:lineRule="auto"/>
              <w:jc w:val="center"/>
              <w:rPr>
                <w:rFonts w:ascii="仿宋" w:hAnsi="仿宋" w:cs="仿宋"/>
                <w:b/>
                <w:kern w:val="0"/>
                <w:sz w:val="24"/>
                <w:szCs w:val="24"/>
              </w:rPr>
            </w:pPr>
            <w:r>
              <w:rPr>
                <w:rFonts w:hint="eastAsia" w:ascii="仿宋" w:hAnsi="仿宋" w:cs="仿宋"/>
                <w:b/>
                <w:kern w:val="0"/>
                <w:sz w:val="24"/>
                <w:szCs w:val="24"/>
              </w:rPr>
              <w:t>作品名称</w:t>
            </w:r>
          </w:p>
        </w:tc>
        <w:tc>
          <w:tcPr>
            <w:tcW w:w="1671" w:type="dxa"/>
            <w:vAlign w:val="center"/>
          </w:tcPr>
          <w:p>
            <w:pPr>
              <w:spacing w:line="240" w:lineRule="auto"/>
              <w:jc w:val="center"/>
              <w:rPr>
                <w:rFonts w:ascii="仿宋" w:hAnsi="仿宋" w:cs="仿宋"/>
                <w:b/>
                <w:kern w:val="0"/>
                <w:sz w:val="24"/>
                <w:szCs w:val="24"/>
              </w:rPr>
            </w:pPr>
            <w:r>
              <w:rPr>
                <w:rFonts w:hint="eastAsia" w:ascii="仿宋" w:hAnsi="仿宋" w:cs="仿宋"/>
                <w:b/>
                <w:kern w:val="0"/>
                <w:sz w:val="24"/>
                <w:szCs w:val="24"/>
              </w:rPr>
              <w:t>竞赛类别</w:t>
            </w:r>
          </w:p>
        </w:tc>
        <w:tc>
          <w:tcPr>
            <w:tcW w:w="1276" w:type="dxa"/>
            <w:vAlign w:val="center"/>
          </w:tcPr>
          <w:p>
            <w:pPr>
              <w:widowControl/>
              <w:spacing w:line="240" w:lineRule="auto"/>
              <w:jc w:val="center"/>
              <w:rPr>
                <w:rFonts w:eastAsia="宋体"/>
                <w:b/>
                <w:bCs/>
                <w:kern w:val="0"/>
                <w:sz w:val="22"/>
              </w:rPr>
            </w:pPr>
            <w:r>
              <w:rPr>
                <w:rFonts w:hint="eastAsia"/>
                <w:b/>
                <w:bCs/>
                <w:sz w:val="22"/>
              </w:rPr>
              <w:t>赛项名称</w:t>
            </w:r>
          </w:p>
        </w:tc>
        <w:tc>
          <w:tcPr>
            <w:tcW w:w="1701" w:type="dxa"/>
            <w:vAlign w:val="center"/>
          </w:tcPr>
          <w:p>
            <w:pPr>
              <w:spacing w:line="240" w:lineRule="auto"/>
              <w:jc w:val="center"/>
              <w:rPr>
                <w:rFonts w:ascii="仿宋" w:hAnsi="仿宋" w:cs="仿宋"/>
                <w:b/>
                <w:kern w:val="0"/>
                <w:sz w:val="24"/>
                <w:szCs w:val="24"/>
              </w:rPr>
            </w:pPr>
            <w:r>
              <w:rPr>
                <w:rFonts w:hint="eastAsia" w:ascii="仿宋" w:hAnsi="仿宋" w:cs="仿宋"/>
                <w:b/>
                <w:kern w:val="0"/>
                <w:sz w:val="24"/>
                <w:szCs w:val="24"/>
              </w:rPr>
              <w:t>参赛学生</w:t>
            </w:r>
          </w:p>
        </w:tc>
        <w:tc>
          <w:tcPr>
            <w:tcW w:w="1163" w:type="dxa"/>
            <w:vAlign w:val="center"/>
          </w:tcPr>
          <w:p>
            <w:pPr>
              <w:adjustRightInd w:val="0"/>
              <w:snapToGrid w:val="0"/>
              <w:spacing w:line="240" w:lineRule="auto"/>
              <w:jc w:val="center"/>
              <w:rPr>
                <w:rFonts w:ascii="仿宋" w:hAnsi="仿宋" w:cs="仿宋"/>
                <w:b/>
                <w:kern w:val="0"/>
                <w:sz w:val="24"/>
                <w:szCs w:val="24"/>
              </w:rPr>
            </w:pPr>
            <w:r>
              <w:rPr>
                <w:rFonts w:hint="eastAsia" w:ascii="仿宋" w:hAnsi="仿宋" w:cs="仿宋"/>
                <w:b/>
                <w:kern w:val="0"/>
                <w:sz w:val="24"/>
                <w:szCs w:val="24"/>
              </w:rPr>
              <w:t>指导</w:t>
            </w:r>
            <w:r>
              <w:rPr>
                <w:rFonts w:ascii="仿宋" w:hAnsi="仿宋" w:cs="仿宋"/>
                <w:b/>
                <w:kern w:val="0"/>
                <w:sz w:val="24"/>
                <w:szCs w:val="24"/>
              </w:rPr>
              <w:br w:type="textWrapping"/>
            </w:r>
            <w:r>
              <w:rPr>
                <w:rFonts w:hint="eastAsia" w:ascii="仿宋" w:hAnsi="仿宋" w:cs="仿宋"/>
                <w:b/>
                <w:kern w:val="0"/>
                <w:sz w:val="24"/>
                <w:szCs w:val="24"/>
              </w:rPr>
              <w:t>教师</w:t>
            </w:r>
          </w:p>
        </w:tc>
        <w:tc>
          <w:tcPr>
            <w:tcW w:w="1134" w:type="dxa"/>
            <w:vAlign w:val="center"/>
          </w:tcPr>
          <w:p>
            <w:pPr>
              <w:adjustRightInd w:val="0"/>
              <w:snapToGrid w:val="0"/>
              <w:spacing w:line="240" w:lineRule="auto"/>
              <w:jc w:val="center"/>
              <w:rPr>
                <w:rFonts w:ascii="仿宋" w:hAnsi="仿宋" w:cs="仿宋"/>
                <w:b/>
                <w:kern w:val="0"/>
                <w:sz w:val="24"/>
                <w:szCs w:val="24"/>
              </w:rPr>
            </w:pPr>
            <w:r>
              <w:rPr>
                <w:rFonts w:hint="eastAsia" w:ascii="仿宋" w:hAnsi="仿宋" w:cs="仿宋"/>
                <w:b/>
                <w:kern w:val="0"/>
                <w:sz w:val="24"/>
                <w:szCs w:val="24"/>
              </w:rPr>
              <w:t>市级评选情况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2183" w:type="dxa"/>
            <w:vAlign w:val="center"/>
          </w:tcPr>
          <w:p>
            <w:pPr>
              <w:widowControl/>
              <w:adjustRightInd w:val="0"/>
              <w:snapToGrid w:val="0"/>
              <w:spacing w:line="240" w:lineRule="auto"/>
              <w:rPr>
                <w:rFonts w:eastAsia="宋体"/>
                <w:kern w:val="0"/>
                <w:sz w:val="22"/>
              </w:rPr>
            </w:pPr>
            <w:r>
              <w:rPr>
                <w:rFonts w:hint="eastAsia"/>
                <w:sz w:val="22"/>
              </w:rPr>
              <w:t>叛逆青春</w:t>
            </w:r>
          </w:p>
        </w:tc>
        <w:tc>
          <w:tcPr>
            <w:tcW w:w="1671" w:type="dxa"/>
            <w:vAlign w:val="center"/>
          </w:tcPr>
          <w:p>
            <w:pPr>
              <w:widowControl/>
              <w:adjustRightInd w:val="0"/>
              <w:snapToGrid w:val="0"/>
              <w:spacing w:line="240" w:lineRule="auto"/>
              <w:jc w:val="center"/>
              <w:rPr>
                <w:sz w:val="22"/>
              </w:rPr>
            </w:pPr>
            <w:r>
              <w:rPr>
                <w:rFonts w:hint="eastAsia"/>
                <w:sz w:val="22"/>
              </w:rPr>
              <w:t>摄影与视频</w:t>
            </w:r>
          </w:p>
        </w:tc>
        <w:tc>
          <w:tcPr>
            <w:tcW w:w="1276" w:type="dxa"/>
            <w:vAlign w:val="center"/>
          </w:tcPr>
          <w:p>
            <w:pPr>
              <w:adjustRightInd w:val="0"/>
              <w:snapToGrid w:val="0"/>
              <w:spacing w:line="240" w:lineRule="auto"/>
              <w:jc w:val="center"/>
              <w:rPr>
                <w:sz w:val="22"/>
              </w:rPr>
            </w:pPr>
            <w:r>
              <w:rPr>
                <w:rFonts w:hint="eastAsia"/>
                <w:sz w:val="22"/>
              </w:rPr>
              <w:t>微电影</w:t>
            </w:r>
          </w:p>
        </w:tc>
        <w:tc>
          <w:tcPr>
            <w:tcW w:w="1701" w:type="dxa"/>
            <w:vAlign w:val="center"/>
          </w:tcPr>
          <w:p>
            <w:pPr>
              <w:widowControl/>
              <w:adjustRightInd w:val="0"/>
              <w:snapToGrid w:val="0"/>
              <w:spacing w:line="240" w:lineRule="auto"/>
              <w:jc w:val="center"/>
              <w:rPr>
                <w:sz w:val="22"/>
              </w:rPr>
            </w:pPr>
            <w:r>
              <w:rPr>
                <w:rFonts w:hint="eastAsia"/>
                <w:sz w:val="22"/>
              </w:rPr>
              <w:t>李华侨、侯峰、关宝嵘、刘洋</w:t>
            </w:r>
          </w:p>
        </w:tc>
        <w:tc>
          <w:tcPr>
            <w:tcW w:w="1163" w:type="dxa"/>
            <w:vAlign w:val="center"/>
          </w:tcPr>
          <w:p>
            <w:pPr>
              <w:widowControl/>
              <w:adjustRightInd w:val="0"/>
              <w:snapToGrid w:val="0"/>
              <w:spacing w:line="240" w:lineRule="auto"/>
              <w:jc w:val="center"/>
              <w:rPr>
                <w:sz w:val="22"/>
              </w:rPr>
            </w:pPr>
            <w:r>
              <w:rPr>
                <w:rFonts w:hint="eastAsia"/>
                <w:sz w:val="22"/>
              </w:rPr>
              <w:t>鲁晓静、马骋</w:t>
            </w:r>
          </w:p>
        </w:tc>
        <w:tc>
          <w:tcPr>
            <w:tcW w:w="1134" w:type="dxa"/>
            <w:vAlign w:val="center"/>
          </w:tcPr>
          <w:p>
            <w:pPr>
              <w:widowControl/>
              <w:adjustRightInd w:val="0"/>
              <w:snapToGrid w:val="0"/>
              <w:spacing w:line="240" w:lineRule="auto"/>
              <w:jc w:val="center"/>
              <w:rPr>
                <w:sz w:val="22"/>
              </w:rPr>
            </w:pPr>
            <w:r>
              <w:rPr>
                <w:rFonts w:hint="eastAsia"/>
                <w:sz w:val="22"/>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2183" w:type="dxa"/>
            <w:vAlign w:val="center"/>
          </w:tcPr>
          <w:p>
            <w:pPr>
              <w:widowControl/>
              <w:adjustRightInd w:val="0"/>
              <w:snapToGrid w:val="0"/>
              <w:spacing w:line="240" w:lineRule="auto"/>
              <w:rPr>
                <w:sz w:val="22"/>
              </w:rPr>
            </w:pPr>
            <w:r>
              <w:rPr>
                <w:rFonts w:hint="eastAsia"/>
                <w:sz w:val="22"/>
              </w:rPr>
              <w:t>传承</w:t>
            </w:r>
          </w:p>
        </w:tc>
        <w:tc>
          <w:tcPr>
            <w:tcW w:w="1671" w:type="dxa"/>
            <w:vAlign w:val="center"/>
          </w:tcPr>
          <w:p>
            <w:pPr>
              <w:widowControl/>
              <w:adjustRightInd w:val="0"/>
              <w:snapToGrid w:val="0"/>
              <w:spacing w:line="240" w:lineRule="auto"/>
              <w:jc w:val="center"/>
              <w:rPr>
                <w:sz w:val="22"/>
              </w:rPr>
            </w:pPr>
            <w:r>
              <w:rPr>
                <w:rFonts w:hint="eastAsia"/>
                <w:sz w:val="22"/>
              </w:rPr>
              <w:t>摄影与视频</w:t>
            </w:r>
          </w:p>
        </w:tc>
        <w:tc>
          <w:tcPr>
            <w:tcW w:w="1276" w:type="dxa"/>
            <w:vAlign w:val="center"/>
          </w:tcPr>
          <w:p>
            <w:pPr>
              <w:widowControl/>
              <w:adjustRightInd w:val="0"/>
              <w:snapToGrid w:val="0"/>
              <w:spacing w:line="240" w:lineRule="auto"/>
              <w:jc w:val="center"/>
              <w:rPr>
                <w:sz w:val="22"/>
              </w:rPr>
            </w:pPr>
            <w:r>
              <w:rPr>
                <w:rFonts w:hint="eastAsia"/>
                <w:sz w:val="22"/>
              </w:rPr>
              <w:t>摄影</w:t>
            </w:r>
          </w:p>
        </w:tc>
        <w:tc>
          <w:tcPr>
            <w:tcW w:w="1701" w:type="dxa"/>
            <w:vAlign w:val="center"/>
          </w:tcPr>
          <w:p>
            <w:pPr>
              <w:widowControl/>
              <w:adjustRightInd w:val="0"/>
              <w:snapToGrid w:val="0"/>
              <w:spacing w:line="240" w:lineRule="auto"/>
              <w:jc w:val="center"/>
              <w:rPr>
                <w:sz w:val="22"/>
              </w:rPr>
            </w:pPr>
            <w:r>
              <w:rPr>
                <w:rFonts w:hint="eastAsia"/>
                <w:sz w:val="22"/>
              </w:rPr>
              <w:t>杨野</w:t>
            </w:r>
          </w:p>
        </w:tc>
        <w:tc>
          <w:tcPr>
            <w:tcW w:w="1163" w:type="dxa"/>
            <w:vAlign w:val="center"/>
          </w:tcPr>
          <w:p>
            <w:pPr>
              <w:widowControl/>
              <w:adjustRightInd w:val="0"/>
              <w:snapToGrid w:val="0"/>
              <w:spacing w:line="240" w:lineRule="auto"/>
              <w:jc w:val="center"/>
              <w:rPr>
                <w:sz w:val="22"/>
              </w:rPr>
            </w:pPr>
            <w:r>
              <w:rPr>
                <w:rFonts w:hint="eastAsia"/>
                <w:sz w:val="22"/>
              </w:rPr>
              <w:t>张劲松</w:t>
            </w:r>
          </w:p>
        </w:tc>
        <w:tc>
          <w:tcPr>
            <w:tcW w:w="1134" w:type="dxa"/>
            <w:vAlign w:val="center"/>
          </w:tcPr>
          <w:p>
            <w:pPr>
              <w:widowControl/>
              <w:adjustRightInd w:val="0"/>
              <w:snapToGrid w:val="0"/>
              <w:spacing w:line="240" w:lineRule="auto"/>
              <w:jc w:val="center"/>
              <w:rPr>
                <w:sz w:val="22"/>
              </w:rPr>
            </w:pPr>
            <w:r>
              <w:rPr>
                <w:rFonts w:hint="eastAsia"/>
                <w:sz w:val="22"/>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jc w:val="center"/>
        </w:trPr>
        <w:tc>
          <w:tcPr>
            <w:tcW w:w="2183" w:type="dxa"/>
            <w:vAlign w:val="center"/>
          </w:tcPr>
          <w:p>
            <w:pPr>
              <w:widowControl/>
              <w:adjustRightInd w:val="0"/>
              <w:snapToGrid w:val="0"/>
              <w:spacing w:line="240" w:lineRule="auto"/>
              <w:rPr>
                <w:sz w:val="22"/>
              </w:rPr>
            </w:pPr>
            <w:r>
              <w:rPr>
                <w:rFonts w:hint="eastAsia"/>
                <w:sz w:val="22"/>
              </w:rPr>
              <w:t>红十字“救”在身边</w:t>
            </w:r>
          </w:p>
        </w:tc>
        <w:tc>
          <w:tcPr>
            <w:tcW w:w="1671" w:type="dxa"/>
            <w:vAlign w:val="center"/>
          </w:tcPr>
          <w:p>
            <w:pPr>
              <w:widowControl/>
              <w:adjustRightInd w:val="0"/>
              <w:snapToGrid w:val="0"/>
              <w:spacing w:line="240" w:lineRule="auto"/>
              <w:jc w:val="center"/>
              <w:rPr>
                <w:sz w:val="22"/>
              </w:rPr>
            </w:pPr>
            <w:r>
              <w:rPr>
                <w:rFonts w:hint="eastAsia"/>
                <w:sz w:val="22"/>
              </w:rPr>
              <w:t>摄影与视频</w:t>
            </w:r>
          </w:p>
        </w:tc>
        <w:tc>
          <w:tcPr>
            <w:tcW w:w="1276" w:type="dxa"/>
            <w:vAlign w:val="center"/>
          </w:tcPr>
          <w:p>
            <w:pPr>
              <w:widowControl/>
              <w:adjustRightInd w:val="0"/>
              <w:snapToGrid w:val="0"/>
              <w:spacing w:line="240" w:lineRule="auto"/>
              <w:jc w:val="center"/>
              <w:rPr>
                <w:sz w:val="22"/>
              </w:rPr>
            </w:pPr>
            <w:r>
              <w:rPr>
                <w:rFonts w:hint="eastAsia"/>
                <w:sz w:val="22"/>
              </w:rPr>
              <w:t>微电影</w:t>
            </w:r>
          </w:p>
        </w:tc>
        <w:tc>
          <w:tcPr>
            <w:tcW w:w="1701" w:type="dxa"/>
            <w:vAlign w:val="center"/>
          </w:tcPr>
          <w:p>
            <w:pPr>
              <w:widowControl/>
              <w:adjustRightInd w:val="0"/>
              <w:snapToGrid w:val="0"/>
              <w:spacing w:line="240" w:lineRule="auto"/>
              <w:jc w:val="center"/>
              <w:rPr>
                <w:sz w:val="22"/>
              </w:rPr>
            </w:pPr>
            <w:r>
              <w:rPr>
                <w:rFonts w:hint="eastAsia"/>
                <w:sz w:val="22"/>
              </w:rPr>
              <w:t>王瀚缔、王星昊</w:t>
            </w:r>
          </w:p>
        </w:tc>
        <w:tc>
          <w:tcPr>
            <w:tcW w:w="1163" w:type="dxa"/>
            <w:vAlign w:val="center"/>
          </w:tcPr>
          <w:p>
            <w:pPr>
              <w:widowControl/>
              <w:adjustRightInd w:val="0"/>
              <w:snapToGrid w:val="0"/>
              <w:spacing w:line="240" w:lineRule="auto"/>
              <w:jc w:val="center"/>
              <w:rPr>
                <w:sz w:val="22"/>
              </w:rPr>
            </w:pPr>
            <w:r>
              <w:rPr>
                <w:rFonts w:hint="eastAsia"/>
                <w:sz w:val="22"/>
              </w:rPr>
              <w:t>丁宁宁</w:t>
            </w:r>
          </w:p>
        </w:tc>
        <w:tc>
          <w:tcPr>
            <w:tcW w:w="1134" w:type="dxa"/>
            <w:vAlign w:val="center"/>
          </w:tcPr>
          <w:p>
            <w:pPr>
              <w:widowControl/>
              <w:adjustRightInd w:val="0"/>
              <w:snapToGrid w:val="0"/>
              <w:spacing w:line="240" w:lineRule="auto"/>
              <w:jc w:val="center"/>
              <w:rPr>
                <w:sz w:val="22"/>
              </w:rPr>
            </w:pPr>
            <w:r>
              <w:rPr>
                <w:rFonts w:hint="eastAsia"/>
                <w:sz w:val="22"/>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jc w:val="center"/>
        </w:trPr>
        <w:tc>
          <w:tcPr>
            <w:tcW w:w="2183" w:type="dxa"/>
            <w:vAlign w:val="center"/>
          </w:tcPr>
          <w:p>
            <w:pPr>
              <w:widowControl/>
              <w:adjustRightInd w:val="0"/>
              <w:snapToGrid w:val="0"/>
              <w:spacing w:line="240" w:lineRule="auto"/>
              <w:rPr>
                <w:sz w:val="22"/>
              </w:rPr>
            </w:pPr>
            <w:r>
              <w:rPr>
                <w:rFonts w:hint="eastAsia"/>
                <w:sz w:val="22"/>
              </w:rPr>
              <w:t>正青春,在路上</w:t>
            </w:r>
          </w:p>
        </w:tc>
        <w:tc>
          <w:tcPr>
            <w:tcW w:w="1671" w:type="dxa"/>
            <w:vAlign w:val="center"/>
          </w:tcPr>
          <w:p>
            <w:pPr>
              <w:widowControl/>
              <w:adjustRightInd w:val="0"/>
              <w:snapToGrid w:val="0"/>
              <w:spacing w:line="240" w:lineRule="auto"/>
              <w:jc w:val="center"/>
              <w:rPr>
                <w:sz w:val="22"/>
              </w:rPr>
            </w:pPr>
            <w:r>
              <w:rPr>
                <w:rFonts w:hint="eastAsia"/>
                <w:sz w:val="22"/>
              </w:rPr>
              <w:t>摄影与视频</w:t>
            </w:r>
          </w:p>
        </w:tc>
        <w:tc>
          <w:tcPr>
            <w:tcW w:w="1276" w:type="dxa"/>
            <w:vAlign w:val="center"/>
          </w:tcPr>
          <w:p>
            <w:pPr>
              <w:widowControl/>
              <w:adjustRightInd w:val="0"/>
              <w:snapToGrid w:val="0"/>
              <w:spacing w:line="240" w:lineRule="auto"/>
              <w:jc w:val="center"/>
              <w:rPr>
                <w:sz w:val="22"/>
              </w:rPr>
            </w:pPr>
            <w:r>
              <w:rPr>
                <w:rFonts w:hint="eastAsia"/>
                <w:sz w:val="22"/>
              </w:rPr>
              <w:t>公益广告</w:t>
            </w:r>
          </w:p>
        </w:tc>
        <w:tc>
          <w:tcPr>
            <w:tcW w:w="1701" w:type="dxa"/>
            <w:vAlign w:val="center"/>
          </w:tcPr>
          <w:p>
            <w:pPr>
              <w:widowControl/>
              <w:adjustRightInd w:val="0"/>
              <w:snapToGrid w:val="0"/>
              <w:spacing w:line="240" w:lineRule="auto"/>
              <w:jc w:val="center"/>
              <w:rPr>
                <w:sz w:val="22"/>
              </w:rPr>
            </w:pPr>
            <w:r>
              <w:rPr>
                <w:rFonts w:hint="eastAsia"/>
                <w:sz w:val="22"/>
              </w:rPr>
              <w:t>王瀚缔、姜雪</w:t>
            </w:r>
          </w:p>
        </w:tc>
        <w:tc>
          <w:tcPr>
            <w:tcW w:w="1163" w:type="dxa"/>
            <w:vAlign w:val="center"/>
          </w:tcPr>
          <w:p>
            <w:pPr>
              <w:widowControl/>
              <w:adjustRightInd w:val="0"/>
              <w:snapToGrid w:val="0"/>
              <w:spacing w:line="240" w:lineRule="auto"/>
              <w:jc w:val="center"/>
              <w:rPr>
                <w:sz w:val="22"/>
              </w:rPr>
            </w:pPr>
            <w:r>
              <w:rPr>
                <w:rFonts w:hint="eastAsia"/>
                <w:sz w:val="22"/>
              </w:rPr>
              <w:t>丁宁宁</w:t>
            </w:r>
          </w:p>
        </w:tc>
        <w:tc>
          <w:tcPr>
            <w:tcW w:w="1134" w:type="dxa"/>
            <w:vAlign w:val="center"/>
          </w:tcPr>
          <w:p>
            <w:pPr>
              <w:widowControl/>
              <w:adjustRightInd w:val="0"/>
              <w:snapToGrid w:val="0"/>
              <w:spacing w:line="240" w:lineRule="auto"/>
              <w:jc w:val="center"/>
              <w:rPr>
                <w:sz w:val="22"/>
              </w:rPr>
            </w:pPr>
            <w:r>
              <w:rPr>
                <w:rFonts w:hint="eastAsia"/>
                <w:sz w:val="22"/>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4" w:hRule="atLeast"/>
          <w:jc w:val="center"/>
        </w:trPr>
        <w:tc>
          <w:tcPr>
            <w:tcW w:w="2183" w:type="dxa"/>
            <w:vAlign w:val="center"/>
          </w:tcPr>
          <w:p>
            <w:pPr>
              <w:widowControl/>
              <w:adjustRightInd w:val="0"/>
              <w:snapToGrid w:val="0"/>
              <w:spacing w:line="240" w:lineRule="auto"/>
              <w:rPr>
                <w:sz w:val="22"/>
              </w:rPr>
            </w:pPr>
            <w:r>
              <w:rPr>
                <w:rFonts w:hint="eastAsia"/>
                <w:sz w:val="22"/>
              </w:rPr>
              <w:t>匠人匠心</w:t>
            </w:r>
          </w:p>
        </w:tc>
        <w:tc>
          <w:tcPr>
            <w:tcW w:w="1671" w:type="dxa"/>
            <w:vAlign w:val="center"/>
          </w:tcPr>
          <w:p>
            <w:pPr>
              <w:widowControl/>
              <w:adjustRightInd w:val="0"/>
              <w:snapToGrid w:val="0"/>
              <w:spacing w:line="240" w:lineRule="auto"/>
              <w:jc w:val="center"/>
              <w:rPr>
                <w:sz w:val="22"/>
              </w:rPr>
            </w:pPr>
            <w:r>
              <w:rPr>
                <w:rFonts w:hint="eastAsia"/>
                <w:sz w:val="22"/>
              </w:rPr>
              <w:t>摄影与视频</w:t>
            </w:r>
          </w:p>
        </w:tc>
        <w:tc>
          <w:tcPr>
            <w:tcW w:w="1276" w:type="dxa"/>
            <w:vAlign w:val="center"/>
          </w:tcPr>
          <w:p>
            <w:pPr>
              <w:widowControl/>
              <w:adjustRightInd w:val="0"/>
              <w:snapToGrid w:val="0"/>
              <w:spacing w:line="240" w:lineRule="auto"/>
              <w:jc w:val="center"/>
              <w:rPr>
                <w:sz w:val="22"/>
              </w:rPr>
            </w:pPr>
            <w:r>
              <w:rPr>
                <w:rFonts w:hint="eastAsia"/>
                <w:sz w:val="22"/>
              </w:rPr>
              <w:t>摄影</w:t>
            </w:r>
          </w:p>
        </w:tc>
        <w:tc>
          <w:tcPr>
            <w:tcW w:w="1701" w:type="dxa"/>
            <w:vAlign w:val="center"/>
          </w:tcPr>
          <w:p>
            <w:pPr>
              <w:widowControl/>
              <w:adjustRightInd w:val="0"/>
              <w:snapToGrid w:val="0"/>
              <w:spacing w:line="240" w:lineRule="auto"/>
              <w:jc w:val="center"/>
              <w:rPr>
                <w:sz w:val="22"/>
              </w:rPr>
            </w:pPr>
            <w:r>
              <w:rPr>
                <w:rFonts w:hint="eastAsia"/>
                <w:sz w:val="22"/>
              </w:rPr>
              <w:t>杨益</w:t>
            </w:r>
          </w:p>
        </w:tc>
        <w:tc>
          <w:tcPr>
            <w:tcW w:w="1163" w:type="dxa"/>
            <w:vAlign w:val="center"/>
          </w:tcPr>
          <w:p>
            <w:pPr>
              <w:widowControl/>
              <w:adjustRightInd w:val="0"/>
              <w:snapToGrid w:val="0"/>
              <w:spacing w:line="240" w:lineRule="auto"/>
              <w:jc w:val="center"/>
              <w:rPr>
                <w:sz w:val="22"/>
              </w:rPr>
            </w:pPr>
            <w:r>
              <w:rPr>
                <w:rFonts w:hint="eastAsia"/>
                <w:sz w:val="22"/>
              </w:rPr>
              <w:t>孔跃、</w:t>
            </w:r>
          </w:p>
          <w:p>
            <w:pPr>
              <w:widowControl/>
              <w:adjustRightInd w:val="0"/>
              <w:snapToGrid w:val="0"/>
              <w:spacing w:line="240" w:lineRule="auto"/>
              <w:jc w:val="center"/>
              <w:rPr>
                <w:sz w:val="22"/>
              </w:rPr>
            </w:pPr>
            <w:r>
              <w:rPr>
                <w:rFonts w:hint="eastAsia"/>
                <w:sz w:val="22"/>
              </w:rPr>
              <w:t>蒋瑶瑶</w:t>
            </w:r>
          </w:p>
        </w:tc>
        <w:tc>
          <w:tcPr>
            <w:tcW w:w="1134" w:type="dxa"/>
            <w:vAlign w:val="center"/>
          </w:tcPr>
          <w:p>
            <w:pPr>
              <w:widowControl/>
              <w:adjustRightInd w:val="0"/>
              <w:snapToGrid w:val="0"/>
              <w:spacing w:line="240" w:lineRule="auto"/>
              <w:jc w:val="center"/>
              <w:rPr>
                <w:sz w:val="22"/>
              </w:rPr>
            </w:pPr>
            <w:r>
              <w:rPr>
                <w:rFonts w:hint="eastAsia"/>
                <w:sz w:val="22"/>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8" w:hRule="atLeast"/>
          <w:jc w:val="center"/>
        </w:trPr>
        <w:tc>
          <w:tcPr>
            <w:tcW w:w="2183" w:type="dxa"/>
            <w:vAlign w:val="center"/>
          </w:tcPr>
          <w:p>
            <w:pPr>
              <w:widowControl/>
              <w:adjustRightInd w:val="0"/>
              <w:snapToGrid w:val="0"/>
              <w:spacing w:line="240" w:lineRule="auto"/>
              <w:rPr>
                <w:sz w:val="22"/>
              </w:rPr>
            </w:pPr>
            <w:r>
              <w:rPr>
                <w:rFonts w:hint="eastAsia"/>
                <w:sz w:val="22"/>
              </w:rPr>
              <w:t>弘扬工匠精神，铸就有为青年</w:t>
            </w:r>
          </w:p>
        </w:tc>
        <w:tc>
          <w:tcPr>
            <w:tcW w:w="1671" w:type="dxa"/>
            <w:vAlign w:val="center"/>
          </w:tcPr>
          <w:p>
            <w:pPr>
              <w:widowControl/>
              <w:adjustRightInd w:val="0"/>
              <w:snapToGrid w:val="0"/>
              <w:spacing w:line="240" w:lineRule="auto"/>
              <w:jc w:val="center"/>
              <w:rPr>
                <w:sz w:val="22"/>
              </w:rPr>
            </w:pPr>
            <w:r>
              <w:rPr>
                <w:rFonts w:hint="eastAsia"/>
                <w:sz w:val="22"/>
              </w:rPr>
              <w:t>征文演讲</w:t>
            </w:r>
          </w:p>
        </w:tc>
        <w:tc>
          <w:tcPr>
            <w:tcW w:w="1276" w:type="dxa"/>
            <w:vAlign w:val="center"/>
          </w:tcPr>
          <w:p>
            <w:pPr>
              <w:widowControl/>
              <w:adjustRightInd w:val="0"/>
              <w:snapToGrid w:val="0"/>
              <w:spacing w:line="240" w:lineRule="auto"/>
              <w:jc w:val="center"/>
              <w:rPr>
                <w:sz w:val="22"/>
              </w:rPr>
            </w:pPr>
            <w:r>
              <w:rPr>
                <w:rFonts w:hint="eastAsia"/>
                <w:sz w:val="22"/>
              </w:rPr>
              <w:t>征文演讲</w:t>
            </w:r>
          </w:p>
        </w:tc>
        <w:tc>
          <w:tcPr>
            <w:tcW w:w="1701" w:type="dxa"/>
            <w:vAlign w:val="center"/>
          </w:tcPr>
          <w:p>
            <w:pPr>
              <w:widowControl/>
              <w:adjustRightInd w:val="0"/>
              <w:snapToGrid w:val="0"/>
              <w:spacing w:line="240" w:lineRule="auto"/>
              <w:jc w:val="center"/>
              <w:rPr>
                <w:sz w:val="22"/>
              </w:rPr>
            </w:pPr>
            <w:r>
              <w:rPr>
                <w:rFonts w:hint="eastAsia"/>
                <w:sz w:val="22"/>
              </w:rPr>
              <w:t>曾一</w:t>
            </w:r>
          </w:p>
        </w:tc>
        <w:tc>
          <w:tcPr>
            <w:tcW w:w="1163" w:type="dxa"/>
            <w:vAlign w:val="center"/>
          </w:tcPr>
          <w:p>
            <w:pPr>
              <w:widowControl/>
              <w:adjustRightInd w:val="0"/>
              <w:snapToGrid w:val="0"/>
              <w:spacing w:line="240" w:lineRule="auto"/>
              <w:jc w:val="center"/>
              <w:rPr>
                <w:sz w:val="22"/>
              </w:rPr>
            </w:pPr>
            <w:r>
              <w:rPr>
                <w:rFonts w:hint="eastAsia"/>
                <w:sz w:val="22"/>
              </w:rPr>
              <w:t>王鹤澄</w:t>
            </w:r>
          </w:p>
        </w:tc>
        <w:tc>
          <w:tcPr>
            <w:tcW w:w="1134" w:type="dxa"/>
            <w:vAlign w:val="center"/>
          </w:tcPr>
          <w:p>
            <w:pPr>
              <w:widowControl/>
              <w:adjustRightInd w:val="0"/>
              <w:snapToGrid w:val="0"/>
              <w:spacing w:line="240" w:lineRule="auto"/>
              <w:jc w:val="center"/>
              <w:rPr>
                <w:sz w:val="22"/>
              </w:rPr>
            </w:pPr>
            <w:r>
              <w:rPr>
                <w:rFonts w:hint="eastAsia"/>
                <w:sz w:val="22"/>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jc w:val="center"/>
        </w:trPr>
        <w:tc>
          <w:tcPr>
            <w:tcW w:w="2183" w:type="dxa"/>
            <w:vAlign w:val="center"/>
          </w:tcPr>
          <w:p>
            <w:pPr>
              <w:widowControl/>
              <w:adjustRightInd w:val="0"/>
              <w:snapToGrid w:val="0"/>
              <w:spacing w:line="240" w:lineRule="auto"/>
              <w:rPr>
                <w:sz w:val="22"/>
              </w:rPr>
            </w:pPr>
            <w:r>
              <w:rPr>
                <w:rFonts w:hint="eastAsia"/>
                <w:sz w:val="22"/>
              </w:rPr>
              <w:t>讲文明,重修养</w:t>
            </w:r>
          </w:p>
        </w:tc>
        <w:tc>
          <w:tcPr>
            <w:tcW w:w="1671" w:type="dxa"/>
            <w:vAlign w:val="center"/>
          </w:tcPr>
          <w:p>
            <w:pPr>
              <w:widowControl/>
              <w:adjustRightInd w:val="0"/>
              <w:snapToGrid w:val="0"/>
              <w:spacing w:line="240" w:lineRule="auto"/>
              <w:jc w:val="center"/>
              <w:rPr>
                <w:rFonts w:hint="eastAsia"/>
                <w:sz w:val="22"/>
              </w:rPr>
            </w:pPr>
            <w:r>
              <w:rPr>
                <w:rFonts w:hint="eastAsia"/>
                <w:sz w:val="22"/>
              </w:rPr>
              <w:t>特设项目</w:t>
            </w:r>
          </w:p>
          <w:p>
            <w:pPr>
              <w:widowControl/>
              <w:adjustRightInd w:val="0"/>
              <w:snapToGrid w:val="0"/>
              <w:spacing w:line="240" w:lineRule="auto"/>
              <w:jc w:val="center"/>
              <w:rPr>
                <w:sz w:val="22"/>
              </w:rPr>
            </w:pPr>
            <w:r>
              <w:rPr>
                <w:rFonts w:hint="eastAsia"/>
                <w:sz w:val="22"/>
              </w:rPr>
              <w:t>（公约）</w:t>
            </w:r>
          </w:p>
        </w:tc>
        <w:tc>
          <w:tcPr>
            <w:tcW w:w="1276" w:type="dxa"/>
            <w:vAlign w:val="center"/>
          </w:tcPr>
          <w:p>
            <w:pPr>
              <w:widowControl/>
              <w:adjustRightInd w:val="0"/>
              <w:snapToGrid w:val="0"/>
              <w:spacing w:line="240" w:lineRule="auto"/>
              <w:jc w:val="center"/>
              <w:rPr>
                <w:sz w:val="22"/>
              </w:rPr>
            </w:pPr>
            <w:r>
              <w:rPr>
                <w:rFonts w:hint="eastAsia"/>
                <w:sz w:val="22"/>
              </w:rPr>
              <w:t>视频作品</w:t>
            </w:r>
          </w:p>
        </w:tc>
        <w:tc>
          <w:tcPr>
            <w:tcW w:w="1701" w:type="dxa"/>
            <w:vAlign w:val="center"/>
          </w:tcPr>
          <w:p>
            <w:pPr>
              <w:widowControl/>
              <w:adjustRightInd w:val="0"/>
              <w:snapToGrid w:val="0"/>
              <w:spacing w:line="240" w:lineRule="auto"/>
              <w:jc w:val="center"/>
              <w:rPr>
                <w:sz w:val="22"/>
              </w:rPr>
            </w:pPr>
            <w:r>
              <w:rPr>
                <w:rFonts w:hint="eastAsia"/>
                <w:sz w:val="22"/>
              </w:rPr>
              <w:t>刘桐旭、米满、曲梓豪、孟鑫男、崔钲琪</w:t>
            </w:r>
          </w:p>
        </w:tc>
        <w:tc>
          <w:tcPr>
            <w:tcW w:w="1163" w:type="dxa"/>
            <w:vAlign w:val="center"/>
          </w:tcPr>
          <w:p>
            <w:pPr>
              <w:widowControl/>
              <w:adjustRightInd w:val="0"/>
              <w:snapToGrid w:val="0"/>
              <w:spacing w:line="240" w:lineRule="auto"/>
              <w:jc w:val="center"/>
              <w:rPr>
                <w:sz w:val="22"/>
              </w:rPr>
            </w:pPr>
            <w:r>
              <w:rPr>
                <w:rFonts w:hint="eastAsia"/>
                <w:sz w:val="22"/>
              </w:rPr>
              <w:t>张劲松</w:t>
            </w:r>
          </w:p>
        </w:tc>
        <w:tc>
          <w:tcPr>
            <w:tcW w:w="1134" w:type="dxa"/>
            <w:vAlign w:val="center"/>
          </w:tcPr>
          <w:p>
            <w:pPr>
              <w:widowControl/>
              <w:adjustRightInd w:val="0"/>
              <w:snapToGrid w:val="0"/>
              <w:spacing w:line="240" w:lineRule="auto"/>
              <w:jc w:val="center"/>
              <w:rPr>
                <w:sz w:val="22"/>
              </w:rPr>
            </w:pPr>
            <w:r>
              <w:rPr>
                <w:rFonts w:hint="eastAsia"/>
                <w:sz w:val="22"/>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83" w:type="dxa"/>
            <w:vAlign w:val="center"/>
          </w:tcPr>
          <w:p>
            <w:pPr>
              <w:widowControl/>
              <w:adjustRightInd w:val="0"/>
              <w:snapToGrid w:val="0"/>
              <w:spacing w:line="240" w:lineRule="auto"/>
              <w:rPr>
                <w:sz w:val="22"/>
              </w:rPr>
            </w:pPr>
            <w:r>
              <w:rPr>
                <w:rFonts w:hint="eastAsia"/>
                <w:sz w:val="22"/>
              </w:rPr>
              <w:t>弘扬工匠精神，做新时期工匠</w:t>
            </w:r>
          </w:p>
        </w:tc>
        <w:tc>
          <w:tcPr>
            <w:tcW w:w="1671" w:type="dxa"/>
            <w:vAlign w:val="center"/>
          </w:tcPr>
          <w:p>
            <w:pPr>
              <w:widowControl/>
              <w:adjustRightInd w:val="0"/>
              <w:snapToGrid w:val="0"/>
              <w:spacing w:line="240" w:lineRule="auto"/>
              <w:jc w:val="center"/>
              <w:rPr>
                <w:sz w:val="22"/>
              </w:rPr>
            </w:pPr>
            <w:r>
              <w:rPr>
                <w:rFonts w:hint="eastAsia"/>
                <w:sz w:val="22"/>
              </w:rPr>
              <w:t>征文演讲</w:t>
            </w:r>
          </w:p>
        </w:tc>
        <w:tc>
          <w:tcPr>
            <w:tcW w:w="1276" w:type="dxa"/>
            <w:vAlign w:val="center"/>
          </w:tcPr>
          <w:p>
            <w:pPr>
              <w:widowControl/>
              <w:adjustRightInd w:val="0"/>
              <w:snapToGrid w:val="0"/>
              <w:spacing w:line="240" w:lineRule="auto"/>
              <w:jc w:val="center"/>
              <w:rPr>
                <w:sz w:val="22"/>
              </w:rPr>
            </w:pPr>
            <w:r>
              <w:rPr>
                <w:rFonts w:hint="eastAsia"/>
                <w:sz w:val="22"/>
              </w:rPr>
              <w:t>征文演讲</w:t>
            </w:r>
          </w:p>
        </w:tc>
        <w:tc>
          <w:tcPr>
            <w:tcW w:w="1701" w:type="dxa"/>
            <w:vAlign w:val="center"/>
          </w:tcPr>
          <w:p>
            <w:pPr>
              <w:widowControl/>
              <w:adjustRightInd w:val="0"/>
              <w:snapToGrid w:val="0"/>
              <w:spacing w:line="240" w:lineRule="auto"/>
              <w:jc w:val="center"/>
              <w:rPr>
                <w:sz w:val="22"/>
              </w:rPr>
            </w:pPr>
            <w:r>
              <w:rPr>
                <w:rFonts w:hint="eastAsia"/>
                <w:sz w:val="22"/>
              </w:rPr>
              <w:t>刘鹤</w:t>
            </w:r>
          </w:p>
        </w:tc>
        <w:tc>
          <w:tcPr>
            <w:tcW w:w="1163" w:type="dxa"/>
            <w:vAlign w:val="center"/>
          </w:tcPr>
          <w:p>
            <w:pPr>
              <w:widowControl/>
              <w:adjustRightInd w:val="0"/>
              <w:snapToGrid w:val="0"/>
              <w:spacing w:line="240" w:lineRule="auto"/>
              <w:jc w:val="center"/>
              <w:rPr>
                <w:sz w:val="22"/>
              </w:rPr>
            </w:pPr>
            <w:r>
              <w:rPr>
                <w:rFonts w:hint="eastAsia"/>
                <w:sz w:val="22"/>
              </w:rPr>
              <w:t>项慧慧、石鹏利</w:t>
            </w:r>
          </w:p>
        </w:tc>
        <w:tc>
          <w:tcPr>
            <w:tcW w:w="1134" w:type="dxa"/>
            <w:vAlign w:val="center"/>
          </w:tcPr>
          <w:p>
            <w:pPr>
              <w:widowControl/>
              <w:adjustRightInd w:val="0"/>
              <w:snapToGrid w:val="0"/>
              <w:spacing w:line="240" w:lineRule="auto"/>
              <w:jc w:val="center"/>
              <w:rPr>
                <w:sz w:val="22"/>
              </w:rPr>
            </w:pPr>
            <w:r>
              <w:rPr>
                <w:rFonts w:hint="eastAsia"/>
                <w:sz w:val="22"/>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1" w:hRule="atLeast"/>
          <w:jc w:val="center"/>
        </w:trPr>
        <w:tc>
          <w:tcPr>
            <w:tcW w:w="2183" w:type="dxa"/>
            <w:vAlign w:val="center"/>
          </w:tcPr>
          <w:p>
            <w:pPr>
              <w:widowControl/>
              <w:adjustRightInd w:val="0"/>
              <w:snapToGrid w:val="0"/>
              <w:spacing w:line="240" w:lineRule="auto"/>
              <w:rPr>
                <w:sz w:val="22"/>
              </w:rPr>
            </w:pPr>
            <w:r>
              <w:rPr>
                <w:rFonts w:hint="eastAsia"/>
                <w:sz w:val="22"/>
              </w:rPr>
              <w:t>筑梦大国工匠，弘扬中国制造</w:t>
            </w:r>
          </w:p>
        </w:tc>
        <w:tc>
          <w:tcPr>
            <w:tcW w:w="1671" w:type="dxa"/>
            <w:vAlign w:val="center"/>
          </w:tcPr>
          <w:p>
            <w:pPr>
              <w:widowControl/>
              <w:adjustRightInd w:val="0"/>
              <w:snapToGrid w:val="0"/>
              <w:spacing w:line="240" w:lineRule="auto"/>
              <w:jc w:val="center"/>
              <w:rPr>
                <w:sz w:val="22"/>
              </w:rPr>
            </w:pPr>
            <w:r>
              <w:rPr>
                <w:rFonts w:hint="eastAsia"/>
                <w:sz w:val="22"/>
              </w:rPr>
              <w:t>征文演讲</w:t>
            </w:r>
          </w:p>
        </w:tc>
        <w:tc>
          <w:tcPr>
            <w:tcW w:w="1276" w:type="dxa"/>
            <w:vAlign w:val="center"/>
          </w:tcPr>
          <w:p>
            <w:pPr>
              <w:widowControl/>
              <w:adjustRightInd w:val="0"/>
              <w:snapToGrid w:val="0"/>
              <w:spacing w:line="240" w:lineRule="auto"/>
              <w:jc w:val="center"/>
              <w:rPr>
                <w:sz w:val="22"/>
              </w:rPr>
            </w:pPr>
            <w:r>
              <w:rPr>
                <w:rFonts w:hint="eastAsia"/>
                <w:sz w:val="22"/>
              </w:rPr>
              <w:t>征文演讲</w:t>
            </w:r>
          </w:p>
        </w:tc>
        <w:tc>
          <w:tcPr>
            <w:tcW w:w="1701" w:type="dxa"/>
            <w:vAlign w:val="center"/>
          </w:tcPr>
          <w:p>
            <w:pPr>
              <w:widowControl/>
              <w:adjustRightInd w:val="0"/>
              <w:snapToGrid w:val="0"/>
              <w:spacing w:line="240" w:lineRule="auto"/>
              <w:jc w:val="center"/>
              <w:rPr>
                <w:sz w:val="22"/>
              </w:rPr>
            </w:pPr>
            <w:r>
              <w:rPr>
                <w:rFonts w:hint="eastAsia"/>
                <w:sz w:val="22"/>
              </w:rPr>
              <w:t>陈佳乐</w:t>
            </w:r>
          </w:p>
        </w:tc>
        <w:tc>
          <w:tcPr>
            <w:tcW w:w="1163" w:type="dxa"/>
            <w:vAlign w:val="center"/>
          </w:tcPr>
          <w:p>
            <w:pPr>
              <w:widowControl/>
              <w:adjustRightInd w:val="0"/>
              <w:snapToGrid w:val="0"/>
              <w:spacing w:line="240" w:lineRule="auto"/>
              <w:jc w:val="center"/>
              <w:rPr>
                <w:sz w:val="22"/>
              </w:rPr>
            </w:pPr>
            <w:r>
              <w:rPr>
                <w:rFonts w:hint="eastAsia"/>
                <w:sz w:val="22"/>
              </w:rPr>
              <w:t>张皓</w:t>
            </w:r>
          </w:p>
        </w:tc>
        <w:tc>
          <w:tcPr>
            <w:tcW w:w="1134" w:type="dxa"/>
            <w:vAlign w:val="center"/>
          </w:tcPr>
          <w:p>
            <w:pPr>
              <w:widowControl/>
              <w:adjustRightInd w:val="0"/>
              <w:snapToGrid w:val="0"/>
              <w:spacing w:line="240" w:lineRule="auto"/>
              <w:jc w:val="center"/>
              <w:rPr>
                <w:sz w:val="22"/>
              </w:rPr>
            </w:pPr>
            <w:r>
              <w:rPr>
                <w:rFonts w:hint="eastAsia"/>
                <w:sz w:val="22"/>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0" w:hRule="atLeast"/>
          <w:jc w:val="center"/>
        </w:trPr>
        <w:tc>
          <w:tcPr>
            <w:tcW w:w="2183" w:type="dxa"/>
            <w:vAlign w:val="center"/>
          </w:tcPr>
          <w:p>
            <w:pPr>
              <w:widowControl/>
              <w:adjustRightInd w:val="0"/>
              <w:snapToGrid w:val="0"/>
              <w:spacing w:line="240" w:lineRule="auto"/>
              <w:rPr>
                <w:sz w:val="22"/>
              </w:rPr>
            </w:pPr>
            <w:r>
              <w:rPr>
                <w:rFonts w:hint="eastAsia"/>
                <w:sz w:val="22"/>
              </w:rPr>
              <w:t>传工匠精神，做鲁泰工匠</w:t>
            </w:r>
          </w:p>
        </w:tc>
        <w:tc>
          <w:tcPr>
            <w:tcW w:w="1671" w:type="dxa"/>
            <w:vAlign w:val="center"/>
          </w:tcPr>
          <w:p>
            <w:pPr>
              <w:widowControl/>
              <w:adjustRightInd w:val="0"/>
              <w:snapToGrid w:val="0"/>
              <w:spacing w:line="240" w:lineRule="auto"/>
              <w:jc w:val="center"/>
              <w:rPr>
                <w:sz w:val="22"/>
              </w:rPr>
            </w:pPr>
            <w:r>
              <w:rPr>
                <w:rFonts w:hint="eastAsia"/>
                <w:sz w:val="22"/>
              </w:rPr>
              <w:t>征文演讲</w:t>
            </w:r>
          </w:p>
        </w:tc>
        <w:tc>
          <w:tcPr>
            <w:tcW w:w="1276" w:type="dxa"/>
            <w:vAlign w:val="center"/>
          </w:tcPr>
          <w:p>
            <w:pPr>
              <w:widowControl/>
              <w:adjustRightInd w:val="0"/>
              <w:snapToGrid w:val="0"/>
              <w:spacing w:line="240" w:lineRule="auto"/>
              <w:jc w:val="center"/>
              <w:rPr>
                <w:sz w:val="22"/>
              </w:rPr>
            </w:pPr>
            <w:r>
              <w:rPr>
                <w:rFonts w:hint="eastAsia"/>
                <w:sz w:val="22"/>
              </w:rPr>
              <w:t>征文演讲</w:t>
            </w:r>
          </w:p>
        </w:tc>
        <w:tc>
          <w:tcPr>
            <w:tcW w:w="1701" w:type="dxa"/>
            <w:vAlign w:val="center"/>
          </w:tcPr>
          <w:p>
            <w:pPr>
              <w:widowControl/>
              <w:adjustRightInd w:val="0"/>
              <w:snapToGrid w:val="0"/>
              <w:spacing w:line="240" w:lineRule="auto"/>
              <w:jc w:val="center"/>
              <w:rPr>
                <w:sz w:val="22"/>
              </w:rPr>
            </w:pPr>
            <w:r>
              <w:rPr>
                <w:rFonts w:hint="eastAsia"/>
                <w:sz w:val="22"/>
              </w:rPr>
              <w:t>国凤葆</w:t>
            </w:r>
          </w:p>
        </w:tc>
        <w:tc>
          <w:tcPr>
            <w:tcW w:w="1163" w:type="dxa"/>
            <w:vAlign w:val="center"/>
          </w:tcPr>
          <w:p>
            <w:pPr>
              <w:widowControl/>
              <w:adjustRightInd w:val="0"/>
              <w:snapToGrid w:val="0"/>
              <w:spacing w:line="240" w:lineRule="auto"/>
              <w:jc w:val="center"/>
              <w:rPr>
                <w:sz w:val="22"/>
              </w:rPr>
            </w:pPr>
            <w:r>
              <w:rPr>
                <w:rFonts w:hint="eastAsia"/>
                <w:sz w:val="22"/>
              </w:rPr>
              <w:t>葛霁雯、李晨</w:t>
            </w:r>
          </w:p>
        </w:tc>
        <w:tc>
          <w:tcPr>
            <w:tcW w:w="1134" w:type="dxa"/>
            <w:vAlign w:val="center"/>
          </w:tcPr>
          <w:p>
            <w:pPr>
              <w:widowControl/>
              <w:adjustRightInd w:val="0"/>
              <w:snapToGrid w:val="0"/>
              <w:spacing w:line="240" w:lineRule="auto"/>
              <w:jc w:val="center"/>
              <w:rPr>
                <w:sz w:val="22"/>
              </w:rPr>
            </w:pPr>
            <w:r>
              <w:rPr>
                <w:rFonts w:hint="eastAsia"/>
                <w:sz w:val="22"/>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83" w:type="dxa"/>
            <w:vAlign w:val="center"/>
          </w:tcPr>
          <w:p>
            <w:pPr>
              <w:widowControl/>
              <w:adjustRightInd w:val="0"/>
              <w:snapToGrid w:val="0"/>
              <w:spacing w:line="240" w:lineRule="auto"/>
              <w:rPr>
                <w:sz w:val="22"/>
              </w:rPr>
            </w:pPr>
            <w:r>
              <w:rPr>
                <w:rFonts w:hint="eastAsia"/>
                <w:sz w:val="22"/>
              </w:rPr>
              <w:t>怀匠心践匠行 做出彩汽车人</w:t>
            </w:r>
          </w:p>
        </w:tc>
        <w:tc>
          <w:tcPr>
            <w:tcW w:w="1671" w:type="dxa"/>
            <w:vAlign w:val="center"/>
          </w:tcPr>
          <w:p>
            <w:pPr>
              <w:widowControl/>
              <w:adjustRightInd w:val="0"/>
              <w:snapToGrid w:val="0"/>
              <w:spacing w:line="240" w:lineRule="auto"/>
              <w:jc w:val="center"/>
              <w:rPr>
                <w:sz w:val="22"/>
              </w:rPr>
            </w:pPr>
            <w:r>
              <w:rPr>
                <w:rFonts w:hint="eastAsia"/>
                <w:sz w:val="22"/>
              </w:rPr>
              <w:t>摄影与视频</w:t>
            </w:r>
          </w:p>
        </w:tc>
        <w:tc>
          <w:tcPr>
            <w:tcW w:w="1276" w:type="dxa"/>
            <w:vAlign w:val="center"/>
          </w:tcPr>
          <w:p>
            <w:pPr>
              <w:widowControl/>
              <w:adjustRightInd w:val="0"/>
              <w:snapToGrid w:val="0"/>
              <w:spacing w:line="240" w:lineRule="auto"/>
              <w:jc w:val="center"/>
              <w:rPr>
                <w:sz w:val="22"/>
              </w:rPr>
            </w:pPr>
            <w:r>
              <w:rPr>
                <w:rFonts w:hint="eastAsia"/>
                <w:sz w:val="22"/>
              </w:rPr>
              <w:t>记录短片</w:t>
            </w:r>
          </w:p>
        </w:tc>
        <w:tc>
          <w:tcPr>
            <w:tcW w:w="1701" w:type="dxa"/>
            <w:vAlign w:val="center"/>
          </w:tcPr>
          <w:p>
            <w:pPr>
              <w:widowControl/>
              <w:adjustRightInd w:val="0"/>
              <w:snapToGrid w:val="0"/>
              <w:spacing w:line="240" w:lineRule="auto"/>
              <w:jc w:val="center"/>
              <w:rPr>
                <w:sz w:val="22"/>
              </w:rPr>
            </w:pPr>
            <w:r>
              <w:rPr>
                <w:rFonts w:hint="eastAsia"/>
                <w:sz w:val="22"/>
              </w:rPr>
              <w:t>刘玄、陈文龙、王浩楠、唐嗣钰</w:t>
            </w:r>
          </w:p>
        </w:tc>
        <w:tc>
          <w:tcPr>
            <w:tcW w:w="1163" w:type="dxa"/>
            <w:vAlign w:val="center"/>
          </w:tcPr>
          <w:p>
            <w:pPr>
              <w:widowControl/>
              <w:adjustRightInd w:val="0"/>
              <w:snapToGrid w:val="0"/>
              <w:spacing w:line="240" w:lineRule="auto"/>
              <w:jc w:val="center"/>
              <w:rPr>
                <w:sz w:val="22"/>
              </w:rPr>
            </w:pPr>
            <w:r>
              <w:rPr>
                <w:rFonts w:hint="eastAsia"/>
                <w:sz w:val="22"/>
              </w:rPr>
              <w:t>孔跃、蒋瑶瑶</w:t>
            </w:r>
          </w:p>
        </w:tc>
        <w:tc>
          <w:tcPr>
            <w:tcW w:w="1134" w:type="dxa"/>
            <w:vAlign w:val="center"/>
          </w:tcPr>
          <w:p>
            <w:pPr>
              <w:widowControl/>
              <w:adjustRightInd w:val="0"/>
              <w:snapToGrid w:val="0"/>
              <w:spacing w:line="240" w:lineRule="auto"/>
              <w:jc w:val="center"/>
              <w:rPr>
                <w:sz w:val="22"/>
              </w:rPr>
            </w:pPr>
            <w:r>
              <w:rPr>
                <w:rFonts w:hint="eastAsia"/>
                <w:sz w:val="22"/>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 w:hRule="atLeast"/>
          <w:jc w:val="center"/>
        </w:trPr>
        <w:tc>
          <w:tcPr>
            <w:tcW w:w="2183" w:type="dxa"/>
            <w:vAlign w:val="center"/>
          </w:tcPr>
          <w:p>
            <w:pPr>
              <w:widowControl/>
              <w:adjustRightInd w:val="0"/>
              <w:snapToGrid w:val="0"/>
              <w:spacing w:line="240" w:lineRule="auto"/>
              <w:rPr>
                <w:sz w:val="22"/>
              </w:rPr>
            </w:pPr>
            <w:r>
              <w:rPr>
                <w:rFonts w:hint="eastAsia"/>
                <w:sz w:val="22"/>
              </w:rPr>
              <w:t>青春是一场美丽的邂逅</w:t>
            </w:r>
          </w:p>
        </w:tc>
        <w:tc>
          <w:tcPr>
            <w:tcW w:w="1671" w:type="dxa"/>
            <w:vAlign w:val="center"/>
          </w:tcPr>
          <w:p>
            <w:pPr>
              <w:widowControl/>
              <w:adjustRightInd w:val="0"/>
              <w:snapToGrid w:val="0"/>
              <w:spacing w:line="240" w:lineRule="auto"/>
              <w:jc w:val="center"/>
              <w:rPr>
                <w:sz w:val="22"/>
              </w:rPr>
            </w:pPr>
            <w:r>
              <w:rPr>
                <w:rFonts w:hint="eastAsia"/>
                <w:sz w:val="22"/>
              </w:rPr>
              <w:t>摄影与视频</w:t>
            </w:r>
          </w:p>
        </w:tc>
        <w:tc>
          <w:tcPr>
            <w:tcW w:w="1276" w:type="dxa"/>
            <w:vAlign w:val="center"/>
          </w:tcPr>
          <w:p>
            <w:pPr>
              <w:widowControl/>
              <w:adjustRightInd w:val="0"/>
              <w:snapToGrid w:val="0"/>
              <w:spacing w:line="240" w:lineRule="auto"/>
              <w:jc w:val="center"/>
              <w:rPr>
                <w:sz w:val="22"/>
              </w:rPr>
            </w:pPr>
            <w:r>
              <w:rPr>
                <w:rFonts w:hint="eastAsia"/>
                <w:sz w:val="22"/>
              </w:rPr>
              <w:t>微电影</w:t>
            </w:r>
          </w:p>
        </w:tc>
        <w:tc>
          <w:tcPr>
            <w:tcW w:w="1701" w:type="dxa"/>
            <w:vAlign w:val="center"/>
          </w:tcPr>
          <w:p>
            <w:pPr>
              <w:widowControl/>
              <w:adjustRightInd w:val="0"/>
              <w:snapToGrid w:val="0"/>
              <w:spacing w:line="240" w:lineRule="auto"/>
              <w:jc w:val="center"/>
              <w:rPr>
                <w:sz w:val="22"/>
              </w:rPr>
            </w:pPr>
            <w:r>
              <w:rPr>
                <w:rFonts w:hint="eastAsia"/>
                <w:sz w:val="22"/>
              </w:rPr>
              <w:t>艾伦、程多娇</w:t>
            </w:r>
          </w:p>
        </w:tc>
        <w:tc>
          <w:tcPr>
            <w:tcW w:w="1163" w:type="dxa"/>
            <w:vAlign w:val="center"/>
          </w:tcPr>
          <w:p>
            <w:pPr>
              <w:widowControl/>
              <w:adjustRightInd w:val="0"/>
              <w:snapToGrid w:val="0"/>
              <w:spacing w:line="240" w:lineRule="auto"/>
              <w:jc w:val="center"/>
              <w:rPr>
                <w:sz w:val="22"/>
              </w:rPr>
            </w:pPr>
            <w:r>
              <w:rPr>
                <w:rFonts w:hint="eastAsia"/>
                <w:sz w:val="22"/>
              </w:rPr>
              <w:t>孔跃、蒋瑶瑶</w:t>
            </w:r>
          </w:p>
        </w:tc>
        <w:tc>
          <w:tcPr>
            <w:tcW w:w="1134" w:type="dxa"/>
            <w:vAlign w:val="center"/>
          </w:tcPr>
          <w:p>
            <w:pPr>
              <w:widowControl/>
              <w:adjustRightInd w:val="0"/>
              <w:snapToGrid w:val="0"/>
              <w:spacing w:line="240" w:lineRule="auto"/>
              <w:jc w:val="center"/>
              <w:rPr>
                <w:sz w:val="22"/>
              </w:rPr>
            </w:pPr>
            <w:r>
              <w:rPr>
                <w:rFonts w:hint="eastAsia"/>
                <w:sz w:val="22"/>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jc w:val="center"/>
        </w:trPr>
        <w:tc>
          <w:tcPr>
            <w:tcW w:w="2183" w:type="dxa"/>
            <w:vAlign w:val="center"/>
          </w:tcPr>
          <w:p>
            <w:pPr>
              <w:widowControl/>
              <w:adjustRightInd w:val="0"/>
              <w:snapToGrid w:val="0"/>
              <w:spacing w:line="240" w:lineRule="auto"/>
              <w:rPr>
                <w:sz w:val="22"/>
              </w:rPr>
            </w:pPr>
            <w:r>
              <w:rPr>
                <w:rFonts w:hint="eastAsia"/>
                <w:sz w:val="22"/>
              </w:rPr>
              <w:t>学院风</w:t>
            </w:r>
          </w:p>
        </w:tc>
        <w:tc>
          <w:tcPr>
            <w:tcW w:w="1671" w:type="dxa"/>
            <w:vAlign w:val="center"/>
          </w:tcPr>
          <w:p>
            <w:pPr>
              <w:widowControl/>
              <w:adjustRightInd w:val="0"/>
              <w:snapToGrid w:val="0"/>
              <w:spacing w:line="240" w:lineRule="auto"/>
              <w:jc w:val="center"/>
              <w:rPr>
                <w:sz w:val="22"/>
              </w:rPr>
            </w:pPr>
            <w:r>
              <w:rPr>
                <w:rFonts w:hint="eastAsia"/>
                <w:sz w:val="22"/>
              </w:rPr>
              <w:t>摄影与视频</w:t>
            </w:r>
          </w:p>
        </w:tc>
        <w:tc>
          <w:tcPr>
            <w:tcW w:w="1276" w:type="dxa"/>
            <w:vAlign w:val="center"/>
          </w:tcPr>
          <w:p>
            <w:pPr>
              <w:widowControl/>
              <w:adjustRightInd w:val="0"/>
              <w:snapToGrid w:val="0"/>
              <w:spacing w:line="240" w:lineRule="auto"/>
              <w:jc w:val="center"/>
              <w:rPr>
                <w:sz w:val="22"/>
              </w:rPr>
            </w:pPr>
            <w:r>
              <w:rPr>
                <w:rFonts w:hint="eastAsia"/>
                <w:sz w:val="22"/>
              </w:rPr>
              <w:t>记录短片</w:t>
            </w:r>
          </w:p>
        </w:tc>
        <w:tc>
          <w:tcPr>
            <w:tcW w:w="1701" w:type="dxa"/>
            <w:vAlign w:val="center"/>
          </w:tcPr>
          <w:p>
            <w:pPr>
              <w:widowControl/>
              <w:adjustRightInd w:val="0"/>
              <w:snapToGrid w:val="0"/>
              <w:spacing w:line="240" w:lineRule="auto"/>
              <w:jc w:val="center"/>
              <w:rPr>
                <w:sz w:val="22"/>
              </w:rPr>
            </w:pPr>
            <w:r>
              <w:rPr>
                <w:rFonts w:hint="eastAsia"/>
                <w:sz w:val="22"/>
              </w:rPr>
              <w:t>夏国扬、樊昊东、齐聪</w:t>
            </w:r>
          </w:p>
        </w:tc>
        <w:tc>
          <w:tcPr>
            <w:tcW w:w="1163" w:type="dxa"/>
            <w:vAlign w:val="center"/>
          </w:tcPr>
          <w:p>
            <w:pPr>
              <w:widowControl/>
              <w:adjustRightInd w:val="0"/>
              <w:snapToGrid w:val="0"/>
              <w:spacing w:line="240" w:lineRule="auto"/>
              <w:jc w:val="center"/>
              <w:rPr>
                <w:sz w:val="22"/>
              </w:rPr>
            </w:pPr>
            <w:r>
              <w:rPr>
                <w:rFonts w:hint="eastAsia"/>
                <w:sz w:val="22"/>
              </w:rPr>
              <w:t>陆炳林、于德龙</w:t>
            </w:r>
          </w:p>
        </w:tc>
        <w:tc>
          <w:tcPr>
            <w:tcW w:w="1134" w:type="dxa"/>
            <w:vAlign w:val="center"/>
          </w:tcPr>
          <w:p>
            <w:pPr>
              <w:widowControl/>
              <w:adjustRightInd w:val="0"/>
              <w:snapToGrid w:val="0"/>
              <w:spacing w:line="240" w:lineRule="auto"/>
              <w:jc w:val="center"/>
              <w:rPr>
                <w:sz w:val="22"/>
              </w:rPr>
            </w:pPr>
            <w:r>
              <w:rPr>
                <w:rFonts w:hint="eastAsia"/>
                <w:sz w:val="22"/>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83" w:type="dxa"/>
            <w:vAlign w:val="center"/>
          </w:tcPr>
          <w:p>
            <w:pPr>
              <w:widowControl/>
              <w:adjustRightInd w:val="0"/>
              <w:snapToGrid w:val="0"/>
              <w:spacing w:line="240" w:lineRule="auto"/>
              <w:rPr>
                <w:sz w:val="22"/>
              </w:rPr>
            </w:pPr>
            <w:r>
              <w:rPr>
                <w:rFonts w:hint="eastAsia"/>
                <w:sz w:val="22"/>
              </w:rPr>
              <w:t>出彩汽车人</w:t>
            </w:r>
          </w:p>
        </w:tc>
        <w:tc>
          <w:tcPr>
            <w:tcW w:w="1671" w:type="dxa"/>
            <w:vAlign w:val="center"/>
          </w:tcPr>
          <w:p>
            <w:pPr>
              <w:widowControl/>
              <w:adjustRightInd w:val="0"/>
              <w:snapToGrid w:val="0"/>
              <w:spacing w:line="240" w:lineRule="auto"/>
              <w:jc w:val="center"/>
              <w:rPr>
                <w:sz w:val="22"/>
              </w:rPr>
            </w:pPr>
            <w:r>
              <w:rPr>
                <w:rFonts w:hint="eastAsia"/>
                <w:sz w:val="22"/>
              </w:rPr>
              <w:t>摄影与视频</w:t>
            </w:r>
          </w:p>
        </w:tc>
        <w:tc>
          <w:tcPr>
            <w:tcW w:w="1276" w:type="dxa"/>
            <w:vAlign w:val="center"/>
          </w:tcPr>
          <w:p>
            <w:pPr>
              <w:widowControl/>
              <w:adjustRightInd w:val="0"/>
              <w:snapToGrid w:val="0"/>
              <w:spacing w:line="240" w:lineRule="auto"/>
              <w:jc w:val="center"/>
              <w:rPr>
                <w:sz w:val="22"/>
              </w:rPr>
            </w:pPr>
            <w:r>
              <w:rPr>
                <w:rFonts w:hint="eastAsia"/>
                <w:sz w:val="22"/>
              </w:rPr>
              <w:t>摄影</w:t>
            </w:r>
          </w:p>
        </w:tc>
        <w:tc>
          <w:tcPr>
            <w:tcW w:w="1701" w:type="dxa"/>
            <w:vAlign w:val="center"/>
          </w:tcPr>
          <w:p>
            <w:pPr>
              <w:widowControl/>
              <w:adjustRightInd w:val="0"/>
              <w:snapToGrid w:val="0"/>
              <w:spacing w:line="240" w:lineRule="auto"/>
              <w:jc w:val="center"/>
              <w:rPr>
                <w:sz w:val="22"/>
              </w:rPr>
            </w:pPr>
            <w:r>
              <w:rPr>
                <w:rFonts w:hint="eastAsia"/>
                <w:sz w:val="22"/>
              </w:rPr>
              <w:t>张宏伟</w:t>
            </w:r>
          </w:p>
        </w:tc>
        <w:tc>
          <w:tcPr>
            <w:tcW w:w="1163" w:type="dxa"/>
            <w:vAlign w:val="center"/>
          </w:tcPr>
          <w:p>
            <w:pPr>
              <w:widowControl/>
              <w:adjustRightInd w:val="0"/>
              <w:snapToGrid w:val="0"/>
              <w:spacing w:line="240" w:lineRule="auto"/>
              <w:jc w:val="center"/>
              <w:rPr>
                <w:sz w:val="22"/>
              </w:rPr>
            </w:pPr>
            <w:r>
              <w:rPr>
                <w:rFonts w:hint="eastAsia"/>
                <w:sz w:val="22"/>
              </w:rPr>
              <w:t>孔跃、蒋瑶瑶</w:t>
            </w:r>
          </w:p>
        </w:tc>
        <w:tc>
          <w:tcPr>
            <w:tcW w:w="1134" w:type="dxa"/>
            <w:vAlign w:val="center"/>
          </w:tcPr>
          <w:p>
            <w:pPr>
              <w:widowControl/>
              <w:adjustRightInd w:val="0"/>
              <w:snapToGrid w:val="0"/>
              <w:spacing w:line="240" w:lineRule="auto"/>
              <w:jc w:val="center"/>
              <w:rPr>
                <w:sz w:val="22"/>
              </w:rPr>
            </w:pPr>
            <w:r>
              <w:rPr>
                <w:rFonts w:hint="eastAsia"/>
                <w:sz w:val="22"/>
              </w:rPr>
              <w:t>三等奖</w:t>
            </w:r>
          </w:p>
        </w:tc>
      </w:tr>
    </w:tbl>
    <w:p>
      <w:pPr>
        <w:jc w:val="center"/>
        <w:rPr>
          <w:rFonts w:hint="eastAsia" w:ascii="仿宋" w:hAnsi="仿宋" w:cs="仿宋"/>
          <w:kern w:val="0"/>
          <w:sz w:val="28"/>
          <w:szCs w:val="28"/>
        </w:rPr>
      </w:pPr>
    </w:p>
    <w:p>
      <w:pPr>
        <w:jc w:val="center"/>
        <w:rPr>
          <w:rFonts w:ascii="仿宋" w:hAnsi="仿宋" w:cs="仿宋"/>
          <w:kern w:val="0"/>
          <w:sz w:val="28"/>
          <w:szCs w:val="28"/>
        </w:rPr>
      </w:pPr>
      <w:r>
        <w:rPr>
          <w:rFonts w:hint="eastAsia" w:ascii="仿宋" w:hAnsi="仿宋" w:cs="仿宋"/>
          <w:kern w:val="0"/>
          <w:sz w:val="28"/>
          <w:szCs w:val="28"/>
        </w:rPr>
        <w:t>表1</w:t>
      </w:r>
      <w:r>
        <w:rPr>
          <w:rFonts w:hint="eastAsia" w:ascii="仿宋" w:hAnsi="仿宋" w:cs="仿宋"/>
          <w:kern w:val="0"/>
          <w:sz w:val="28"/>
          <w:szCs w:val="28"/>
          <w:lang w:val="en-US" w:eastAsia="zh-CN"/>
        </w:rPr>
        <w:t xml:space="preserve">0 </w:t>
      </w:r>
      <w:r>
        <w:rPr>
          <w:rFonts w:hint="eastAsia" w:ascii="仿宋" w:hAnsi="仿宋" w:cs="仿宋"/>
          <w:kern w:val="0"/>
          <w:sz w:val="28"/>
          <w:szCs w:val="28"/>
        </w:rPr>
        <w:t xml:space="preserve"> 2018年度文明风采活动省赛</w:t>
      </w:r>
      <w:r>
        <w:rPr>
          <w:rFonts w:ascii="仿宋" w:hAnsi="仿宋" w:cs="仿宋"/>
          <w:kern w:val="0"/>
          <w:sz w:val="28"/>
          <w:szCs w:val="28"/>
        </w:rPr>
        <w:t>获奖</w:t>
      </w:r>
      <w:r>
        <w:rPr>
          <w:rFonts w:hint="eastAsia" w:ascii="仿宋" w:hAnsi="仿宋" w:cs="仿宋"/>
          <w:kern w:val="0"/>
          <w:sz w:val="28"/>
          <w:szCs w:val="28"/>
        </w:rPr>
        <w:t>作品汇集</w:t>
      </w:r>
    </w:p>
    <w:tbl>
      <w:tblPr>
        <w:tblStyle w:val="12"/>
        <w:tblW w:w="91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3"/>
        <w:gridCol w:w="1671"/>
        <w:gridCol w:w="1276"/>
        <w:gridCol w:w="1701"/>
        <w:gridCol w:w="116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0" w:hRule="atLeast"/>
          <w:jc w:val="center"/>
        </w:trPr>
        <w:tc>
          <w:tcPr>
            <w:tcW w:w="2183" w:type="dxa"/>
            <w:vAlign w:val="center"/>
          </w:tcPr>
          <w:p>
            <w:pPr>
              <w:spacing w:line="240" w:lineRule="auto"/>
              <w:jc w:val="center"/>
              <w:rPr>
                <w:rFonts w:ascii="仿宋" w:hAnsi="仿宋" w:cs="仿宋"/>
                <w:b/>
                <w:kern w:val="0"/>
                <w:sz w:val="24"/>
                <w:szCs w:val="24"/>
              </w:rPr>
            </w:pPr>
            <w:r>
              <w:rPr>
                <w:rFonts w:hint="eastAsia" w:ascii="仿宋" w:hAnsi="仿宋" w:cs="仿宋"/>
                <w:b/>
                <w:kern w:val="0"/>
                <w:sz w:val="24"/>
                <w:szCs w:val="24"/>
              </w:rPr>
              <w:t>作品名称</w:t>
            </w:r>
          </w:p>
        </w:tc>
        <w:tc>
          <w:tcPr>
            <w:tcW w:w="1671" w:type="dxa"/>
            <w:vAlign w:val="center"/>
          </w:tcPr>
          <w:p>
            <w:pPr>
              <w:spacing w:line="240" w:lineRule="auto"/>
              <w:jc w:val="center"/>
              <w:rPr>
                <w:rFonts w:ascii="仿宋" w:hAnsi="仿宋" w:cs="仿宋"/>
                <w:b/>
                <w:kern w:val="0"/>
                <w:sz w:val="24"/>
                <w:szCs w:val="24"/>
              </w:rPr>
            </w:pPr>
            <w:r>
              <w:rPr>
                <w:rFonts w:hint="eastAsia" w:ascii="仿宋" w:hAnsi="仿宋" w:cs="仿宋"/>
                <w:b/>
                <w:kern w:val="0"/>
                <w:sz w:val="24"/>
                <w:szCs w:val="24"/>
              </w:rPr>
              <w:t>竞赛类别</w:t>
            </w:r>
          </w:p>
        </w:tc>
        <w:tc>
          <w:tcPr>
            <w:tcW w:w="1276" w:type="dxa"/>
            <w:vAlign w:val="center"/>
          </w:tcPr>
          <w:p>
            <w:pPr>
              <w:widowControl/>
              <w:spacing w:line="240" w:lineRule="auto"/>
              <w:jc w:val="center"/>
              <w:rPr>
                <w:rFonts w:eastAsia="宋体"/>
                <w:b/>
                <w:bCs/>
                <w:kern w:val="0"/>
                <w:sz w:val="22"/>
              </w:rPr>
            </w:pPr>
            <w:r>
              <w:rPr>
                <w:rFonts w:hint="eastAsia"/>
                <w:b/>
                <w:bCs/>
                <w:sz w:val="22"/>
              </w:rPr>
              <w:t>赛项名称</w:t>
            </w:r>
          </w:p>
        </w:tc>
        <w:tc>
          <w:tcPr>
            <w:tcW w:w="1701" w:type="dxa"/>
            <w:vAlign w:val="center"/>
          </w:tcPr>
          <w:p>
            <w:pPr>
              <w:adjustRightInd w:val="0"/>
              <w:snapToGrid w:val="0"/>
              <w:spacing w:line="240" w:lineRule="auto"/>
              <w:jc w:val="center"/>
              <w:rPr>
                <w:rFonts w:ascii="仿宋" w:hAnsi="仿宋" w:cs="仿宋"/>
                <w:b/>
                <w:kern w:val="0"/>
                <w:sz w:val="24"/>
                <w:szCs w:val="24"/>
              </w:rPr>
            </w:pPr>
            <w:r>
              <w:rPr>
                <w:rFonts w:hint="eastAsia" w:ascii="仿宋" w:hAnsi="仿宋" w:cs="仿宋"/>
                <w:b/>
                <w:kern w:val="0"/>
                <w:sz w:val="24"/>
                <w:szCs w:val="24"/>
              </w:rPr>
              <w:t>参赛</w:t>
            </w:r>
          </w:p>
          <w:p>
            <w:pPr>
              <w:spacing w:line="240" w:lineRule="auto"/>
              <w:jc w:val="center"/>
              <w:rPr>
                <w:rFonts w:ascii="仿宋" w:hAnsi="仿宋" w:cs="仿宋"/>
                <w:b/>
                <w:kern w:val="0"/>
                <w:sz w:val="24"/>
                <w:szCs w:val="24"/>
              </w:rPr>
            </w:pPr>
            <w:r>
              <w:rPr>
                <w:rFonts w:hint="eastAsia" w:ascii="仿宋" w:hAnsi="仿宋" w:cs="仿宋"/>
                <w:b/>
                <w:kern w:val="0"/>
                <w:sz w:val="24"/>
                <w:szCs w:val="24"/>
              </w:rPr>
              <w:t>学生</w:t>
            </w:r>
          </w:p>
        </w:tc>
        <w:tc>
          <w:tcPr>
            <w:tcW w:w="1163" w:type="dxa"/>
            <w:vAlign w:val="center"/>
          </w:tcPr>
          <w:p>
            <w:pPr>
              <w:adjustRightInd w:val="0"/>
              <w:snapToGrid w:val="0"/>
              <w:spacing w:line="240" w:lineRule="auto"/>
              <w:jc w:val="center"/>
              <w:rPr>
                <w:rFonts w:ascii="仿宋" w:hAnsi="仿宋" w:cs="仿宋"/>
                <w:b/>
                <w:kern w:val="0"/>
                <w:sz w:val="24"/>
                <w:szCs w:val="24"/>
              </w:rPr>
            </w:pPr>
            <w:r>
              <w:rPr>
                <w:rFonts w:hint="eastAsia" w:ascii="仿宋" w:hAnsi="仿宋" w:cs="仿宋"/>
                <w:b/>
                <w:kern w:val="0"/>
                <w:sz w:val="24"/>
                <w:szCs w:val="24"/>
              </w:rPr>
              <w:t>指导</w:t>
            </w:r>
          </w:p>
          <w:p>
            <w:pPr>
              <w:spacing w:line="240" w:lineRule="auto"/>
              <w:jc w:val="center"/>
              <w:rPr>
                <w:rFonts w:ascii="仿宋" w:hAnsi="仿宋" w:cs="仿宋"/>
                <w:b/>
                <w:kern w:val="0"/>
                <w:sz w:val="24"/>
                <w:szCs w:val="24"/>
              </w:rPr>
            </w:pPr>
            <w:r>
              <w:rPr>
                <w:rFonts w:hint="eastAsia" w:ascii="仿宋" w:hAnsi="仿宋" w:cs="仿宋"/>
                <w:b/>
                <w:kern w:val="0"/>
                <w:sz w:val="24"/>
                <w:szCs w:val="24"/>
              </w:rPr>
              <w:t>教师</w:t>
            </w:r>
          </w:p>
        </w:tc>
        <w:tc>
          <w:tcPr>
            <w:tcW w:w="1134" w:type="dxa"/>
            <w:vAlign w:val="center"/>
          </w:tcPr>
          <w:p>
            <w:pPr>
              <w:adjustRightInd w:val="0"/>
              <w:snapToGrid w:val="0"/>
              <w:spacing w:line="240" w:lineRule="auto"/>
              <w:jc w:val="center"/>
              <w:rPr>
                <w:rFonts w:ascii="仿宋" w:hAnsi="仿宋" w:cs="仿宋"/>
                <w:b/>
                <w:kern w:val="0"/>
                <w:sz w:val="24"/>
                <w:szCs w:val="24"/>
              </w:rPr>
            </w:pPr>
            <w:r>
              <w:rPr>
                <w:rFonts w:hint="eastAsia" w:ascii="仿宋" w:hAnsi="仿宋" w:cs="仿宋"/>
                <w:b/>
                <w:kern w:val="0"/>
                <w:sz w:val="24"/>
                <w:szCs w:val="24"/>
              </w:rPr>
              <w:t>省级评选情况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 w:hRule="atLeast"/>
          <w:jc w:val="center"/>
        </w:trPr>
        <w:tc>
          <w:tcPr>
            <w:tcW w:w="2183" w:type="dxa"/>
            <w:vAlign w:val="center"/>
          </w:tcPr>
          <w:p>
            <w:pPr>
              <w:widowControl/>
              <w:adjustRightInd w:val="0"/>
              <w:snapToGrid w:val="0"/>
              <w:spacing w:line="240" w:lineRule="auto"/>
              <w:rPr>
                <w:sz w:val="22"/>
              </w:rPr>
            </w:pPr>
            <w:r>
              <w:rPr>
                <w:rFonts w:hint="eastAsia"/>
                <w:sz w:val="22"/>
              </w:rPr>
              <w:t>叛逆青春</w:t>
            </w:r>
          </w:p>
        </w:tc>
        <w:tc>
          <w:tcPr>
            <w:tcW w:w="1671" w:type="dxa"/>
            <w:vAlign w:val="center"/>
          </w:tcPr>
          <w:p>
            <w:pPr>
              <w:widowControl/>
              <w:adjustRightInd w:val="0"/>
              <w:snapToGrid w:val="0"/>
              <w:spacing w:line="240" w:lineRule="auto"/>
              <w:jc w:val="center"/>
              <w:rPr>
                <w:sz w:val="22"/>
              </w:rPr>
            </w:pPr>
            <w:r>
              <w:rPr>
                <w:rFonts w:hint="eastAsia"/>
                <w:sz w:val="22"/>
              </w:rPr>
              <w:t>摄影与视频</w:t>
            </w:r>
          </w:p>
        </w:tc>
        <w:tc>
          <w:tcPr>
            <w:tcW w:w="1276" w:type="dxa"/>
            <w:vAlign w:val="center"/>
          </w:tcPr>
          <w:p>
            <w:pPr>
              <w:adjustRightInd w:val="0"/>
              <w:snapToGrid w:val="0"/>
              <w:spacing w:line="240" w:lineRule="auto"/>
              <w:jc w:val="center"/>
              <w:rPr>
                <w:sz w:val="22"/>
              </w:rPr>
            </w:pPr>
            <w:r>
              <w:rPr>
                <w:rFonts w:hint="eastAsia"/>
                <w:sz w:val="22"/>
              </w:rPr>
              <w:t>微电影</w:t>
            </w:r>
          </w:p>
        </w:tc>
        <w:tc>
          <w:tcPr>
            <w:tcW w:w="1701" w:type="dxa"/>
            <w:vAlign w:val="center"/>
          </w:tcPr>
          <w:p>
            <w:pPr>
              <w:widowControl/>
              <w:adjustRightInd w:val="0"/>
              <w:snapToGrid w:val="0"/>
              <w:spacing w:line="240" w:lineRule="auto"/>
              <w:jc w:val="center"/>
              <w:rPr>
                <w:sz w:val="22"/>
              </w:rPr>
            </w:pPr>
            <w:r>
              <w:rPr>
                <w:rFonts w:hint="eastAsia"/>
                <w:sz w:val="22"/>
              </w:rPr>
              <w:t>李华侨、侯峰、关宝嵘、刘洋</w:t>
            </w:r>
          </w:p>
        </w:tc>
        <w:tc>
          <w:tcPr>
            <w:tcW w:w="1163" w:type="dxa"/>
            <w:vAlign w:val="center"/>
          </w:tcPr>
          <w:p>
            <w:pPr>
              <w:widowControl/>
              <w:adjustRightInd w:val="0"/>
              <w:snapToGrid w:val="0"/>
              <w:spacing w:line="240" w:lineRule="auto"/>
              <w:jc w:val="center"/>
              <w:rPr>
                <w:sz w:val="22"/>
              </w:rPr>
            </w:pPr>
            <w:r>
              <w:rPr>
                <w:rFonts w:hint="eastAsia"/>
                <w:sz w:val="22"/>
              </w:rPr>
              <w:t>鲁晓静、马骋</w:t>
            </w:r>
          </w:p>
        </w:tc>
        <w:tc>
          <w:tcPr>
            <w:tcW w:w="1134" w:type="dxa"/>
            <w:vAlign w:val="center"/>
          </w:tcPr>
          <w:p>
            <w:pPr>
              <w:widowControl/>
              <w:adjustRightInd w:val="0"/>
              <w:snapToGrid w:val="0"/>
              <w:spacing w:line="240" w:lineRule="auto"/>
              <w:jc w:val="center"/>
              <w:rPr>
                <w:sz w:val="22"/>
              </w:rPr>
            </w:pPr>
            <w:r>
              <w:rPr>
                <w:rFonts w:hint="eastAsia"/>
                <w:sz w:val="22"/>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jc w:val="center"/>
        </w:trPr>
        <w:tc>
          <w:tcPr>
            <w:tcW w:w="2183" w:type="dxa"/>
            <w:vAlign w:val="center"/>
          </w:tcPr>
          <w:p>
            <w:pPr>
              <w:widowControl/>
              <w:adjustRightInd w:val="0"/>
              <w:snapToGrid w:val="0"/>
              <w:spacing w:line="240" w:lineRule="auto"/>
              <w:rPr>
                <w:sz w:val="22"/>
              </w:rPr>
            </w:pPr>
            <w:r>
              <w:rPr>
                <w:rFonts w:hint="eastAsia"/>
                <w:sz w:val="22"/>
              </w:rPr>
              <w:t>传承</w:t>
            </w:r>
          </w:p>
        </w:tc>
        <w:tc>
          <w:tcPr>
            <w:tcW w:w="1671" w:type="dxa"/>
            <w:vAlign w:val="center"/>
          </w:tcPr>
          <w:p>
            <w:pPr>
              <w:widowControl/>
              <w:adjustRightInd w:val="0"/>
              <w:snapToGrid w:val="0"/>
              <w:spacing w:line="240" w:lineRule="auto"/>
              <w:jc w:val="center"/>
              <w:rPr>
                <w:sz w:val="22"/>
              </w:rPr>
            </w:pPr>
            <w:r>
              <w:rPr>
                <w:rFonts w:hint="eastAsia"/>
                <w:sz w:val="22"/>
              </w:rPr>
              <w:t>摄影与视频</w:t>
            </w:r>
          </w:p>
        </w:tc>
        <w:tc>
          <w:tcPr>
            <w:tcW w:w="1276" w:type="dxa"/>
            <w:vAlign w:val="center"/>
          </w:tcPr>
          <w:p>
            <w:pPr>
              <w:widowControl/>
              <w:adjustRightInd w:val="0"/>
              <w:snapToGrid w:val="0"/>
              <w:spacing w:line="240" w:lineRule="auto"/>
              <w:jc w:val="center"/>
              <w:rPr>
                <w:sz w:val="22"/>
              </w:rPr>
            </w:pPr>
            <w:r>
              <w:rPr>
                <w:rFonts w:hint="eastAsia"/>
                <w:sz w:val="22"/>
              </w:rPr>
              <w:t>摄影</w:t>
            </w:r>
          </w:p>
        </w:tc>
        <w:tc>
          <w:tcPr>
            <w:tcW w:w="1701" w:type="dxa"/>
            <w:vAlign w:val="center"/>
          </w:tcPr>
          <w:p>
            <w:pPr>
              <w:widowControl/>
              <w:adjustRightInd w:val="0"/>
              <w:snapToGrid w:val="0"/>
              <w:spacing w:line="240" w:lineRule="auto"/>
              <w:jc w:val="center"/>
              <w:rPr>
                <w:sz w:val="22"/>
              </w:rPr>
            </w:pPr>
            <w:r>
              <w:rPr>
                <w:rFonts w:hint="eastAsia"/>
                <w:sz w:val="22"/>
              </w:rPr>
              <w:t>杨野</w:t>
            </w:r>
          </w:p>
        </w:tc>
        <w:tc>
          <w:tcPr>
            <w:tcW w:w="1163" w:type="dxa"/>
            <w:vAlign w:val="center"/>
          </w:tcPr>
          <w:p>
            <w:pPr>
              <w:widowControl/>
              <w:adjustRightInd w:val="0"/>
              <w:snapToGrid w:val="0"/>
              <w:spacing w:line="240" w:lineRule="auto"/>
              <w:jc w:val="center"/>
              <w:rPr>
                <w:sz w:val="22"/>
              </w:rPr>
            </w:pPr>
            <w:r>
              <w:rPr>
                <w:rFonts w:hint="eastAsia"/>
                <w:sz w:val="22"/>
              </w:rPr>
              <w:t>张劲松</w:t>
            </w:r>
          </w:p>
        </w:tc>
        <w:tc>
          <w:tcPr>
            <w:tcW w:w="1134" w:type="dxa"/>
            <w:vAlign w:val="center"/>
          </w:tcPr>
          <w:p>
            <w:pPr>
              <w:widowControl/>
              <w:adjustRightInd w:val="0"/>
              <w:snapToGrid w:val="0"/>
              <w:spacing w:line="240" w:lineRule="auto"/>
              <w:jc w:val="center"/>
              <w:rPr>
                <w:sz w:val="22"/>
              </w:rPr>
            </w:pPr>
            <w:r>
              <w:rPr>
                <w:rFonts w:hint="eastAsia"/>
                <w:sz w:val="22"/>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2183" w:type="dxa"/>
            <w:vAlign w:val="center"/>
          </w:tcPr>
          <w:p>
            <w:pPr>
              <w:widowControl/>
              <w:adjustRightInd w:val="0"/>
              <w:snapToGrid w:val="0"/>
              <w:spacing w:line="240" w:lineRule="auto"/>
              <w:rPr>
                <w:sz w:val="22"/>
              </w:rPr>
            </w:pPr>
            <w:r>
              <w:rPr>
                <w:rFonts w:hint="eastAsia"/>
                <w:sz w:val="22"/>
              </w:rPr>
              <w:t>红十字“救”在身边</w:t>
            </w:r>
          </w:p>
        </w:tc>
        <w:tc>
          <w:tcPr>
            <w:tcW w:w="1671" w:type="dxa"/>
            <w:vAlign w:val="center"/>
          </w:tcPr>
          <w:p>
            <w:pPr>
              <w:widowControl/>
              <w:adjustRightInd w:val="0"/>
              <w:snapToGrid w:val="0"/>
              <w:spacing w:line="240" w:lineRule="auto"/>
              <w:jc w:val="center"/>
              <w:rPr>
                <w:sz w:val="22"/>
              </w:rPr>
            </w:pPr>
            <w:r>
              <w:rPr>
                <w:rFonts w:hint="eastAsia"/>
                <w:sz w:val="22"/>
              </w:rPr>
              <w:t>摄影与视频</w:t>
            </w:r>
          </w:p>
        </w:tc>
        <w:tc>
          <w:tcPr>
            <w:tcW w:w="1276" w:type="dxa"/>
            <w:vAlign w:val="center"/>
          </w:tcPr>
          <w:p>
            <w:pPr>
              <w:widowControl/>
              <w:adjustRightInd w:val="0"/>
              <w:snapToGrid w:val="0"/>
              <w:spacing w:line="240" w:lineRule="auto"/>
              <w:jc w:val="center"/>
              <w:rPr>
                <w:sz w:val="22"/>
              </w:rPr>
            </w:pPr>
            <w:r>
              <w:rPr>
                <w:rFonts w:hint="eastAsia"/>
                <w:sz w:val="22"/>
              </w:rPr>
              <w:t>微电影</w:t>
            </w:r>
          </w:p>
        </w:tc>
        <w:tc>
          <w:tcPr>
            <w:tcW w:w="1701" w:type="dxa"/>
            <w:vAlign w:val="center"/>
          </w:tcPr>
          <w:p>
            <w:pPr>
              <w:widowControl/>
              <w:adjustRightInd w:val="0"/>
              <w:snapToGrid w:val="0"/>
              <w:spacing w:line="240" w:lineRule="auto"/>
              <w:jc w:val="center"/>
              <w:rPr>
                <w:sz w:val="22"/>
              </w:rPr>
            </w:pPr>
            <w:r>
              <w:rPr>
                <w:rFonts w:hint="eastAsia"/>
                <w:sz w:val="22"/>
              </w:rPr>
              <w:t>王瀚缔、王星昊</w:t>
            </w:r>
          </w:p>
        </w:tc>
        <w:tc>
          <w:tcPr>
            <w:tcW w:w="1163" w:type="dxa"/>
            <w:vAlign w:val="center"/>
          </w:tcPr>
          <w:p>
            <w:pPr>
              <w:widowControl/>
              <w:adjustRightInd w:val="0"/>
              <w:snapToGrid w:val="0"/>
              <w:spacing w:line="240" w:lineRule="auto"/>
              <w:jc w:val="center"/>
              <w:rPr>
                <w:sz w:val="22"/>
              </w:rPr>
            </w:pPr>
            <w:r>
              <w:rPr>
                <w:rFonts w:hint="eastAsia"/>
                <w:sz w:val="22"/>
              </w:rPr>
              <w:t>丁宁宁</w:t>
            </w:r>
          </w:p>
        </w:tc>
        <w:tc>
          <w:tcPr>
            <w:tcW w:w="1134" w:type="dxa"/>
            <w:vAlign w:val="center"/>
          </w:tcPr>
          <w:p>
            <w:pPr>
              <w:widowControl/>
              <w:adjustRightInd w:val="0"/>
              <w:snapToGrid w:val="0"/>
              <w:spacing w:line="240" w:lineRule="auto"/>
              <w:jc w:val="center"/>
              <w:rPr>
                <w:sz w:val="22"/>
              </w:rPr>
            </w:pPr>
            <w:r>
              <w:rPr>
                <w:rFonts w:hint="eastAsia"/>
                <w:sz w:val="22"/>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2183" w:type="dxa"/>
            <w:vAlign w:val="center"/>
          </w:tcPr>
          <w:p>
            <w:pPr>
              <w:widowControl/>
              <w:adjustRightInd w:val="0"/>
              <w:snapToGrid w:val="0"/>
              <w:spacing w:line="240" w:lineRule="auto"/>
              <w:rPr>
                <w:sz w:val="22"/>
              </w:rPr>
            </w:pPr>
            <w:r>
              <w:rPr>
                <w:rFonts w:hint="eastAsia"/>
                <w:sz w:val="22"/>
              </w:rPr>
              <w:t>正青春,在路上</w:t>
            </w:r>
          </w:p>
        </w:tc>
        <w:tc>
          <w:tcPr>
            <w:tcW w:w="1671" w:type="dxa"/>
            <w:vAlign w:val="center"/>
          </w:tcPr>
          <w:p>
            <w:pPr>
              <w:widowControl/>
              <w:adjustRightInd w:val="0"/>
              <w:snapToGrid w:val="0"/>
              <w:spacing w:line="240" w:lineRule="auto"/>
              <w:jc w:val="center"/>
              <w:rPr>
                <w:sz w:val="22"/>
              </w:rPr>
            </w:pPr>
            <w:r>
              <w:rPr>
                <w:rFonts w:hint="eastAsia"/>
                <w:sz w:val="22"/>
              </w:rPr>
              <w:t>摄影与视频</w:t>
            </w:r>
          </w:p>
        </w:tc>
        <w:tc>
          <w:tcPr>
            <w:tcW w:w="1276" w:type="dxa"/>
            <w:vAlign w:val="center"/>
          </w:tcPr>
          <w:p>
            <w:pPr>
              <w:widowControl/>
              <w:adjustRightInd w:val="0"/>
              <w:snapToGrid w:val="0"/>
              <w:spacing w:line="240" w:lineRule="auto"/>
              <w:jc w:val="center"/>
              <w:rPr>
                <w:sz w:val="22"/>
              </w:rPr>
            </w:pPr>
            <w:r>
              <w:rPr>
                <w:rFonts w:hint="eastAsia"/>
                <w:sz w:val="22"/>
              </w:rPr>
              <w:t>公益广告</w:t>
            </w:r>
          </w:p>
        </w:tc>
        <w:tc>
          <w:tcPr>
            <w:tcW w:w="1701" w:type="dxa"/>
            <w:vAlign w:val="center"/>
          </w:tcPr>
          <w:p>
            <w:pPr>
              <w:widowControl/>
              <w:adjustRightInd w:val="0"/>
              <w:snapToGrid w:val="0"/>
              <w:spacing w:line="240" w:lineRule="auto"/>
              <w:jc w:val="center"/>
              <w:rPr>
                <w:sz w:val="22"/>
              </w:rPr>
            </w:pPr>
            <w:r>
              <w:rPr>
                <w:rFonts w:hint="eastAsia"/>
                <w:sz w:val="22"/>
              </w:rPr>
              <w:t>王瀚缔、姜雪</w:t>
            </w:r>
          </w:p>
        </w:tc>
        <w:tc>
          <w:tcPr>
            <w:tcW w:w="1163" w:type="dxa"/>
            <w:vAlign w:val="center"/>
          </w:tcPr>
          <w:p>
            <w:pPr>
              <w:widowControl/>
              <w:adjustRightInd w:val="0"/>
              <w:snapToGrid w:val="0"/>
              <w:spacing w:line="240" w:lineRule="auto"/>
              <w:jc w:val="center"/>
              <w:rPr>
                <w:sz w:val="22"/>
              </w:rPr>
            </w:pPr>
            <w:r>
              <w:rPr>
                <w:rFonts w:hint="eastAsia"/>
                <w:sz w:val="22"/>
              </w:rPr>
              <w:t>丁宁宁</w:t>
            </w:r>
          </w:p>
        </w:tc>
        <w:tc>
          <w:tcPr>
            <w:tcW w:w="1134" w:type="dxa"/>
            <w:vAlign w:val="center"/>
          </w:tcPr>
          <w:p>
            <w:pPr>
              <w:widowControl/>
              <w:adjustRightInd w:val="0"/>
              <w:snapToGrid w:val="0"/>
              <w:spacing w:line="240" w:lineRule="auto"/>
              <w:jc w:val="center"/>
              <w:rPr>
                <w:sz w:val="22"/>
              </w:rPr>
            </w:pPr>
            <w:r>
              <w:rPr>
                <w:rFonts w:hint="eastAsia"/>
                <w:sz w:val="22"/>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jc w:val="center"/>
        </w:trPr>
        <w:tc>
          <w:tcPr>
            <w:tcW w:w="2183" w:type="dxa"/>
            <w:vAlign w:val="center"/>
          </w:tcPr>
          <w:p>
            <w:pPr>
              <w:widowControl/>
              <w:adjustRightInd w:val="0"/>
              <w:snapToGrid w:val="0"/>
              <w:spacing w:line="240" w:lineRule="auto"/>
              <w:rPr>
                <w:sz w:val="22"/>
              </w:rPr>
            </w:pPr>
            <w:r>
              <w:rPr>
                <w:rFonts w:hint="eastAsia"/>
                <w:sz w:val="22"/>
              </w:rPr>
              <w:t>匠人匠心</w:t>
            </w:r>
          </w:p>
        </w:tc>
        <w:tc>
          <w:tcPr>
            <w:tcW w:w="1671" w:type="dxa"/>
            <w:vAlign w:val="center"/>
          </w:tcPr>
          <w:p>
            <w:pPr>
              <w:widowControl/>
              <w:adjustRightInd w:val="0"/>
              <w:snapToGrid w:val="0"/>
              <w:spacing w:line="240" w:lineRule="auto"/>
              <w:jc w:val="center"/>
              <w:rPr>
                <w:sz w:val="22"/>
              </w:rPr>
            </w:pPr>
            <w:r>
              <w:rPr>
                <w:rFonts w:hint="eastAsia"/>
                <w:sz w:val="22"/>
              </w:rPr>
              <w:t>摄影与视频</w:t>
            </w:r>
          </w:p>
        </w:tc>
        <w:tc>
          <w:tcPr>
            <w:tcW w:w="1276" w:type="dxa"/>
            <w:vAlign w:val="center"/>
          </w:tcPr>
          <w:p>
            <w:pPr>
              <w:widowControl/>
              <w:adjustRightInd w:val="0"/>
              <w:snapToGrid w:val="0"/>
              <w:spacing w:line="240" w:lineRule="auto"/>
              <w:jc w:val="center"/>
              <w:rPr>
                <w:sz w:val="22"/>
              </w:rPr>
            </w:pPr>
            <w:r>
              <w:rPr>
                <w:rFonts w:hint="eastAsia"/>
                <w:sz w:val="22"/>
              </w:rPr>
              <w:t>摄影</w:t>
            </w:r>
          </w:p>
        </w:tc>
        <w:tc>
          <w:tcPr>
            <w:tcW w:w="1701" w:type="dxa"/>
            <w:vAlign w:val="center"/>
          </w:tcPr>
          <w:p>
            <w:pPr>
              <w:widowControl/>
              <w:adjustRightInd w:val="0"/>
              <w:snapToGrid w:val="0"/>
              <w:spacing w:line="240" w:lineRule="auto"/>
              <w:jc w:val="center"/>
              <w:rPr>
                <w:sz w:val="22"/>
              </w:rPr>
            </w:pPr>
            <w:r>
              <w:rPr>
                <w:rFonts w:hint="eastAsia"/>
                <w:sz w:val="22"/>
              </w:rPr>
              <w:t>杨益</w:t>
            </w:r>
          </w:p>
        </w:tc>
        <w:tc>
          <w:tcPr>
            <w:tcW w:w="1163" w:type="dxa"/>
            <w:vAlign w:val="center"/>
          </w:tcPr>
          <w:p>
            <w:pPr>
              <w:widowControl/>
              <w:adjustRightInd w:val="0"/>
              <w:snapToGrid w:val="0"/>
              <w:spacing w:line="240" w:lineRule="auto"/>
              <w:jc w:val="center"/>
              <w:rPr>
                <w:sz w:val="22"/>
              </w:rPr>
            </w:pPr>
            <w:r>
              <w:rPr>
                <w:rFonts w:hint="eastAsia"/>
                <w:sz w:val="22"/>
              </w:rPr>
              <w:t>孔跃、</w:t>
            </w:r>
          </w:p>
          <w:p>
            <w:pPr>
              <w:widowControl/>
              <w:adjustRightInd w:val="0"/>
              <w:snapToGrid w:val="0"/>
              <w:spacing w:line="240" w:lineRule="auto"/>
              <w:jc w:val="center"/>
              <w:rPr>
                <w:sz w:val="22"/>
              </w:rPr>
            </w:pPr>
            <w:r>
              <w:rPr>
                <w:rFonts w:hint="eastAsia"/>
                <w:sz w:val="22"/>
              </w:rPr>
              <w:t>蒋瑶瑶</w:t>
            </w:r>
          </w:p>
        </w:tc>
        <w:tc>
          <w:tcPr>
            <w:tcW w:w="1134" w:type="dxa"/>
            <w:vAlign w:val="center"/>
          </w:tcPr>
          <w:p>
            <w:pPr>
              <w:widowControl/>
              <w:adjustRightInd w:val="0"/>
              <w:snapToGrid w:val="0"/>
              <w:spacing w:line="240" w:lineRule="auto"/>
              <w:jc w:val="center"/>
              <w:rPr>
                <w:sz w:val="22"/>
              </w:rPr>
            </w:pPr>
            <w:r>
              <w:rPr>
                <w:rFonts w:hint="eastAsia"/>
                <w:sz w:val="22"/>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jc w:val="center"/>
        </w:trPr>
        <w:tc>
          <w:tcPr>
            <w:tcW w:w="2183" w:type="dxa"/>
            <w:vAlign w:val="center"/>
          </w:tcPr>
          <w:p>
            <w:pPr>
              <w:widowControl/>
              <w:adjustRightInd w:val="0"/>
              <w:snapToGrid w:val="0"/>
              <w:spacing w:line="240" w:lineRule="auto"/>
              <w:rPr>
                <w:sz w:val="22"/>
              </w:rPr>
            </w:pPr>
            <w:r>
              <w:rPr>
                <w:rFonts w:hint="eastAsia"/>
                <w:sz w:val="22"/>
              </w:rPr>
              <w:t>弘扬工匠精神，铸就有为青年</w:t>
            </w:r>
          </w:p>
        </w:tc>
        <w:tc>
          <w:tcPr>
            <w:tcW w:w="1671" w:type="dxa"/>
            <w:vAlign w:val="center"/>
          </w:tcPr>
          <w:p>
            <w:pPr>
              <w:widowControl/>
              <w:adjustRightInd w:val="0"/>
              <w:snapToGrid w:val="0"/>
              <w:spacing w:line="240" w:lineRule="auto"/>
              <w:jc w:val="center"/>
              <w:rPr>
                <w:sz w:val="22"/>
              </w:rPr>
            </w:pPr>
            <w:r>
              <w:rPr>
                <w:rFonts w:hint="eastAsia"/>
                <w:sz w:val="22"/>
              </w:rPr>
              <w:t>征文演讲</w:t>
            </w:r>
          </w:p>
        </w:tc>
        <w:tc>
          <w:tcPr>
            <w:tcW w:w="1276" w:type="dxa"/>
            <w:vAlign w:val="center"/>
          </w:tcPr>
          <w:p>
            <w:pPr>
              <w:widowControl/>
              <w:adjustRightInd w:val="0"/>
              <w:snapToGrid w:val="0"/>
              <w:spacing w:line="240" w:lineRule="auto"/>
              <w:jc w:val="center"/>
              <w:rPr>
                <w:sz w:val="22"/>
              </w:rPr>
            </w:pPr>
            <w:r>
              <w:rPr>
                <w:rFonts w:hint="eastAsia"/>
                <w:sz w:val="22"/>
              </w:rPr>
              <w:t>征文演讲</w:t>
            </w:r>
          </w:p>
        </w:tc>
        <w:tc>
          <w:tcPr>
            <w:tcW w:w="1701" w:type="dxa"/>
            <w:vAlign w:val="center"/>
          </w:tcPr>
          <w:p>
            <w:pPr>
              <w:widowControl/>
              <w:adjustRightInd w:val="0"/>
              <w:snapToGrid w:val="0"/>
              <w:spacing w:line="240" w:lineRule="auto"/>
              <w:jc w:val="center"/>
              <w:rPr>
                <w:sz w:val="22"/>
              </w:rPr>
            </w:pPr>
            <w:r>
              <w:rPr>
                <w:rFonts w:hint="eastAsia"/>
                <w:sz w:val="22"/>
              </w:rPr>
              <w:t>曾一</w:t>
            </w:r>
          </w:p>
        </w:tc>
        <w:tc>
          <w:tcPr>
            <w:tcW w:w="1163" w:type="dxa"/>
            <w:vAlign w:val="center"/>
          </w:tcPr>
          <w:p>
            <w:pPr>
              <w:widowControl/>
              <w:adjustRightInd w:val="0"/>
              <w:snapToGrid w:val="0"/>
              <w:spacing w:line="240" w:lineRule="auto"/>
              <w:jc w:val="center"/>
              <w:rPr>
                <w:sz w:val="22"/>
              </w:rPr>
            </w:pPr>
            <w:r>
              <w:rPr>
                <w:rFonts w:hint="eastAsia"/>
                <w:sz w:val="22"/>
              </w:rPr>
              <w:t>王鹤澄</w:t>
            </w:r>
          </w:p>
        </w:tc>
        <w:tc>
          <w:tcPr>
            <w:tcW w:w="1134" w:type="dxa"/>
            <w:vAlign w:val="center"/>
          </w:tcPr>
          <w:p>
            <w:pPr>
              <w:widowControl/>
              <w:adjustRightInd w:val="0"/>
              <w:snapToGrid w:val="0"/>
              <w:spacing w:line="240" w:lineRule="auto"/>
              <w:jc w:val="center"/>
              <w:rPr>
                <w:sz w:val="22"/>
              </w:rPr>
            </w:pPr>
            <w:r>
              <w:rPr>
                <w:rFonts w:hint="eastAsia"/>
                <w:sz w:val="22"/>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 w:hRule="atLeast"/>
          <w:jc w:val="center"/>
        </w:trPr>
        <w:tc>
          <w:tcPr>
            <w:tcW w:w="2183" w:type="dxa"/>
            <w:vAlign w:val="center"/>
          </w:tcPr>
          <w:p>
            <w:pPr>
              <w:widowControl/>
              <w:adjustRightInd w:val="0"/>
              <w:snapToGrid w:val="0"/>
              <w:spacing w:line="240" w:lineRule="auto"/>
              <w:rPr>
                <w:sz w:val="22"/>
              </w:rPr>
            </w:pPr>
            <w:r>
              <w:rPr>
                <w:rFonts w:hint="eastAsia"/>
                <w:sz w:val="22"/>
              </w:rPr>
              <w:t>讲文明,重修养</w:t>
            </w:r>
          </w:p>
        </w:tc>
        <w:tc>
          <w:tcPr>
            <w:tcW w:w="1671" w:type="dxa"/>
            <w:vAlign w:val="center"/>
          </w:tcPr>
          <w:p>
            <w:pPr>
              <w:widowControl/>
              <w:adjustRightInd w:val="0"/>
              <w:snapToGrid w:val="0"/>
              <w:spacing w:line="240" w:lineRule="auto"/>
              <w:jc w:val="center"/>
              <w:rPr>
                <w:sz w:val="22"/>
              </w:rPr>
            </w:pPr>
            <w:r>
              <w:rPr>
                <w:rFonts w:hint="eastAsia"/>
                <w:sz w:val="22"/>
              </w:rPr>
              <w:t>特设项目（公约）</w:t>
            </w:r>
          </w:p>
        </w:tc>
        <w:tc>
          <w:tcPr>
            <w:tcW w:w="1276" w:type="dxa"/>
            <w:vAlign w:val="center"/>
          </w:tcPr>
          <w:p>
            <w:pPr>
              <w:widowControl/>
              <w:adjustRightInd w:val="0"/>
              <w:snapToGrid w:val="0"/>
              <w:spacing w:line="240" w:lineRule="auto"/>
              <w:jc w:val="center"/>
              <w:rPr>
                <w:sz w:val="22"/>
              </w:rPr>
            </w:pPr>
            <w:r>
              <w:rPr>
                <w:rFonts w:hint="eastAsia"/>
                <w:sz w:val="22"/>
              </w:rPr>
              <w:t>视频作品</w:t>
            </w:r>
          </w:p>
        </w:tc>
        <w:tc>
          <w:tcPr>
            <w:tcW w:w="1701" w:type="dxa"/>
            <w:vAlign w:val="center"/>
          </w:tcPr>
          <w:p>
            <w:pPr>
              <w:widowControl/>
              <w:adjustRightInd w:val="0"/>
              <w:snapToGrid w:val="0"/>
              <w:spacing w:line="240" w:lineRule="auto"/>
              <w:jc w:val="center"/>
              <w:rPr>
                <w:sz w:val="22"/>
              </w:rPr>
            </w:pPr>
            <w:r>
              <w:rPr>
                <w:rFonts w:hint="eastAsia"/>
                <w:sz w:val="22"/>
              </w:rPr>
              <w:t>刘桐旭、米满、曲梓豪、孟鑫男、崔钲琪</w:t>
            </w:r>
          </w:p>
        </w:tc>
        <w:tc>
          <w:tcPr>
            <w:tcW w:w="1163" w:type="dxa"/>
            <w:vAlign w:val="center"/>
          </w:tcPr>
          <w:p>
            <w:pPr>
              <w:widowControl/>
              <w:adjustRightInd w:val="0"/>
              <w:snapToGrid w:val="0"/>
              <w:spacing w:line="240" w:lineRule="auto"/>
              <w:jc w:val="center"/>
              <w:rPr>
                <w:sz w:val="22"/>
              </w:rPr>
            </w:pPr>
            <w:r>
              <w:rPr>
                <w:rFonts w:hint="eastAsia"/>
                <w:sz w:val="22"/>
              </w:rPr>
              <w:t>张劲松</w:t>
            </w:r>
          </w:p>
        </w:tc>
        <w:tc>
          <w:tcPr>
            <w:tcW w:w="1134" w:type="dxa"/>
            <w:vAlign w:val="center"/>
          </w:tcPr>
          <w:p>
            <w:pPr>
              <w:widowControl/>
              <w:adjustRightInd w:val="0"/>
              <w:snapToGrid w:val="0"/>
              <w:spacing w:line="240" w:lineRule="auto"/>
              <w:jc w:val="center"/>
              <w:rPr>
                <w:sz w:val="22"/>
              </w:rPr>
            </w:pPr>
            <w:r>
              <w:rPr>
                <w:rFonts w:hint="eastAsia"/>
                <w:sz w:val="22"/>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83" w:type="dxa"/>
            <w:vAlign w:val="center"/>
          </w:tcPr>
          <w:p>
            <w:pPr>
              <w:widowControl/>
              <w:adjustRightInd w:val="0"/>
              <w:snapToGrid w:val="0"/>
              <w:spacing w:line="240" w:lineRule="auto"/>
              <w:rPr>
                <w:sz w:val="22"/>
              </w:rPr>
            </w:pPr>
            <w:r>
              <w:rPr>
                <w:rFonts w:hint="eastAsia"/>
                <w:sz w:val="22"/>
              </w:rPr>
              <w:t>弘扬工匠精神，做新时期工匠</w:t>
            </w:r>
          </w:p>
        </w:tc>
        <w:tc>
          <w:tcPr>
            <w:tcW w:w="1671" w:type="dxa"/>
            <w:vAlign w:val="center"/>
          </w:tcPr>
          <w:p>
            <w:pPr>
              <w:widowControl/>
              <w:adjustRightInd w:val="0"/>
              <w:snapToGrid w:val="0"/>
              <w:spacing w:line="240" w:lineRule="auto"/>
              <w:jc w:val="center"/>
              <w:rPr>
                <w:sz w:val="22"/>
              </w:rPr>
            </w:pPr>
            <w:r>
              <w:rPr>
                <w:rFonts w:hint="eastAsia"/>
                <w:sz w:val="22"/>
              </w:rPr>
              <w:t>征文演讲</w:t>
            </w:r>
          </w:p>
        </w:tc>
        <w:tc>
          <w:tcPr>
            <w:tcW w:w="1276" w:type="dxa"/>
            <w:vAlign w:val="center"/>
          </w:tcPr>
          <w:p>
            <w:pPr>
              <w:widowControl/>
              <w:adjustRightInd w:val="0"/>
              <w:snapToGrid w:val="0"/>
              <w:spacing w:line="240" w:lineRule="auto"/>
              <w:jc w:val="center"/>
              <w:rPr>
                <w:sz w:val="22"/>
              </w:rPr>
            </w:pPr>
            <w:r>
              <w:rPr>
                <w:rFonts w:hint="eastAsia"/>
                <w:sz w:val="22"/>
              </w:rPr>
              <w:t>征文演讲</w:t>
            </w:r>
          </w:p>
        </w:tc>
        <w:tc>
          <w:tcPr>
            <w:tcW w:w="1701" w:type="dxa"/>
            <w:vAlign w:val="center"/>
          </w:tcPr>
          <w:p>
            <w:pPr>
              <w:widowControl/>
              <w:adjustRightInd w:val="0"/>
              <w:snapToGrid w:val="0"/>
              <w:spacing w:line="240" w:lineRule="auto"/>
              <w:jc w:val="center"/>
              <w:rPr>
                <w:sz w:val="22"/>
              </w:rPr>
            </w:pPr>
            <w:r>
              <w:rPr>
                <w:rFonts w:hint="eastAsia"/>
                <w:sz w:val="22"/>
              </w:rPr>
              <w:t>刘鹤</w:t>
            </w:r>
          </w:p>
        </w:tc>
        <w:tc>
          <w:tcPr>
            <w:tcW w:w="1163" w:type="dxa"/>
            <w:vAlign w:val="center"/>
          </w:tcPr>
          <w:p>
            <w:pPr>
              <w:widowControl/>
              <w:adjustRightInd w:val="0"/>
              <w:snapToGrid w:val="0"/>
              <w:spacing w:line="240" w:lineRule="auto"/>
              <w:jc w:val="center"/>
              <w:rPr>
                <w:sz w:val="22"/>
              </w:rPr>
            </w:pPr>
            <w:r>
              <w:rPr>
                <w:rFonts w:hint="eastAsia"/>
                <w:sz w:val="22"/>
              </w:rPr>
              <w:t>项慧慧、石鹏利</w:t>
            </w:r>
          </w:p>
        </w:tc>
        <w:tc>
          <w:tcPr>
            <w:tcW w:w="1134" w:type="dxa"/>
            <w:vAlign w:val="center"/>
          </w:tcPr>
          <w:p>
            <w:pPr>
              <w:widowControl/>
              <w:adjustRightInd w:val="0"/>
              <w:snapToGrid w:val="0"/>
              <w:spacing w:line="240" w:lineRule="auto"/>
              <w:jc w:val="center"/>
              <w:rPr>
                <w:sz w:val="22"/>
              </w:rPr>
            </w:pPr>
            <w:r>
              <w:rPr>
                <w:rFonts w:hint="eastAsia"/>
                <w:sz w:val="22"/>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2183" w:type="dxa"/>
            <w:vAlign w:val="center"/>
          </w:tcPr>
          <w:p>
            <w:pPr>
              <w:widowControl/>
              <w:adjustRightInd w:val="0"/>
              <w:snapToGrid w:val="0"/>
              <w:spacing w:line="240" w:lineRule="auto"/>
              <w:rPr>
                <w:sz w:val="22"/>
              </w:rPr>
            </w:pPr>
            <w:r>
              <w:rPr>
                <w:rFonts w:hint="eastAsia"/>
                <w:sz w:val="22"/>
              </w:rPr>
              <w:t>筑梦大国工匠，弘扬中国制造</w:t>
            </w:r>
          </w:p>
        </w:tc>
        <w:tc>
          <w:tcPr>
            <w:tcW w:w="1671" w:type="dxa"/>
            <w:vAlign w:val="center"/>
          </w:tcPr>
          <w:p>
            <w:pPr>
              <w:widowControl/>
              <w:adjustRightInd w:val="0"/>
              <w:snapToGrid w:val="0"/>
              <w:spacing w:line="240" w:lineRule="auto"/>
              <w:jc w:val="center"/>
              <w:rPr>
                <w:sz w:val="22"/>
              </w:rPr>
            </w:pPr>
            <w:r>
              <w:rPr>
                <w:rFonts w:hint="eastAsia"/>
                <w:sz w:val="22"/>
              </w:rPr>
              <w:t>征文演讲</w:t>
            </w:r>
          </w:p>
        </w:tc>
        <w:tc>
          <w:tcPr>
            <w:tcW w:w="1276" w:type="dxa"/>
            <w:vAlign w:val="center"/>
          </w:tcPr>
          <w:p>
            <w:pPr>
              <w:widowControl/>
              <w:adjustRightInd w:val="0"/>
              <w:snapToGrid w:val="0"/>
              <w:spacing w:line="240" w:lineRule="auto"/>
              <w:jc w:val="center"/>
              <w:rPr>
                <w:sz w:val="22"/>
              </w:rPr>
            </w:pPr>
            <w:r>
              <w:rPr>
                <w:rFonts w:hint="eastAsia"/>
                <w:sz w:val="22"/>
              </w:rPr>
              <w:t>征文演讲</w:t>
            </w:r>
          </w:p>
        </w:tc>
        <w:tc>
          <w:tcPr>
            <w:tcW w:w="1701" w:type="dxa"/>
            <w:vAlign w:val="center"/>
          </w:tcPr>
          <w:p>
            <w:pPr>
              <w:widowControl/>
              <w:adjustRightInd w:val="0"/>
              <w:snapToGrid w:val="0"/>
              <w:spacing w:line="240" w:lineRule="auto"/>
              <w:jc w:val="center"/>
              <w:rPr>
                <w:sz w:val="22"/>
              </w:rPr>
            </w:pPr>
            <w:r>
              <w:rPr>
                <w:rFonts w:hint="eastAsia"/>
                <w:sz w:val="22"/>
              </w:rPr>
              <w:t>陈佳乐</w:t>
            </w:r>
          </w:p>
        </w:tc>
        <w:tc>
          <w:tcPr>
            <w:tcW w:w="1163" w:type="dxa"/>
            <w:vAlign w:val="center"/>
          </w:tcPr>
          <w:p>
            <w:pPr>
              <w:widowControl/>
              <w:adjustRightInd w:val="0"/>
              <w:snapToGrid w:val="0"/>
              <w:spacing w:line="240" w:lineRule="auto"/>
              <w:jc w:val="center"/>
              <w:rPr>
                <w:sz w:val="22"/>
              </w:rPr>
            </w:pPr>
            <w:r>
              <w:rPr>
                <w:rFonts w:hint="eastAsia"/>
                <w:sz w:val="22"/>
              </w:rPr>
              <w:t>张皓</w:t>
            </w:r>
          </w:p>
        </w:tc>
        <w:tc>
          <w:tcPr>
            <w:tcW w:w="1134" w:type="dxa"/>
            <w:vAlign w:val="center"/>
          </w:tcPr>
          <w:p>
            <w:pPr>
              <w:widowControl/>
              <w:adjustRightInd w:val="0"/>
              <w:snapToGrid w:val="0"/>
              <w:spacing w:line="240" w:lineRule="auto"/>
              <w:jc w:val="center"/>
              <w:rPr>
                <w:sz w:val="22"/>
              </w:rPr>
            </w:pPr>
            <w:r>
              <w:rPr>
                <w:rFonts w:hint="eastAsia"/>
                <w:sz w:val="22"/>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jc w:val="center"/>
        </w:trPr>
        <w:tc>
          <w:tcPr>
            <w:tcW w:w="2183" w:type="dxa"/>
            <w:vAlign w:val="center"/>
          </w:tcPr>
          <w:p>
            <w:pPr>
              <w:widowControl/>
              <w:adjustRightInd w:val="0"/>
              <w:snapToGrid w:val="0"/>
              <w:spacing w:line="240" w:lineRule="auto"/>
              <w:rPr>
                <w:sz w:val="22"/>
              </w:rPr>
            </w:pPr>
            <w:r>
              <w:rPr>
                <w:rFonts w:hint="eastAsia"/>
                <w:sz w:val="22"/>
              </w:rPr>
              <w:t>传工匠精神，做鲁泰工匠</w:t>
            </w:r>
          </w:p>
        </w:tc>
        <w:tc>
          <w:tcPr>
            <w:tcW w:w="1671" w:type="dxa"/>
            <w:vAlign w:val="center"/>
          </w:tcPr>
          <w:p>
            <w:pPr>
              <w:widowControl/>
              <w:adjustRightInd w:val="0"/>
              <w:snapToGrid w:val="0"/>
              <w:spacing w:line="240" w:lineRule="auto"/>
              <w:jc w:val="center"/>
              <w:rPr>
                <w:sz w:val="22"/>
              </w:rPr>
            </w:pPr>
            <w:r>
              <w:rPr>
                <w:rFonts w:hint="eastAsia"/>
                <w:sz w:val="22"/>
              </w:rPr>
              <w:t>征文演讲</w:t>
            </w:r>
          </w:p>
        </w:tc>
        <w:tc>
          <w:tcPr>
            <w:tcW w:w="1276" w:type="dxa"/>
            <w:vAlign w:val="center"/>
          </w:tcPr>
          <w:p>
            <w:pPr>
              <w:widowControl/>
              <w:adjustRightInd w:val="0"/>
              <w:snapToGrid w:val="0"/>
              <w:spacing w:line="240" w:lineRule="auto"/>
              <w:jc w:val="center"/>
              <w:rPr>
                <w:sz w:val="22"/>
              </w:rPr>
            </w:pPr>
            <w:r>
              <w:rPr>
                <w:rFonts w:hint="eastAsia"/>
                <w:sz w:val="22"/>
              </w:rPr>
              <w:t>征文演讲</w:t>
            </w:r>
          </w:p>
        </w:tc>
        <w:tc>
          <w:tcPr>
            <w:tcW w:w="1701" w:type="dxa"/>
            <w:vAlign w:val="center"/>
          </w:tcPr>
          <w:p>
            <w:pPr>
              <w:widowControl/>
              <w:adjustRightInd w:val="0"/>
              <w:snapToGrid w:val="0"/>
              <w:spacing w:line="240" w:lineRule="auto"/>
              <w:jc w:val="center"/>
              <w:rPr>
                <w:sz w:val="22"/>
              </w:rPr>
            </w:pPr>
            <w:r>
              <w:rPr>
                <w:rFonts w:hint="eastAsia"/>
                <w:sz w:val="22"/>
              </w:rPr>
              <w:t>国凤葆</w:t>
            </w:r>
          </w:p>
        </w:tc>
        <w:tc>
          <w:tcPr>
            <w:tcW w:w="1163" w:type="dxa"/>
            <w:vAlign w:val="center"/>
          </w:tcPr>
          <w:p>
            <w:pPr>
              <w:widowControl/>
              <w:adjustRightInd w:val="0"/>
              <w:snapToGrid w:val="0"/>
              <w:spacing w:line="240" w:lineRule="auto"/>
              <w:jc w:val="center"/>
              <w:rPr>
                <w:sz w:val="22"/>
              </w:rPr>
            </w:pPr>
            <w:r>
              <w:rPr>
                <w:rFonts w:hint="eastAsia"/>
                <w:sz w:val="22"/>
              </w:rPr>
              <w:t>葛霁雯、李晨</w:t>
            </w:r>
          </w:p>
        </w:tc>
        <w:tc>
          <w:tcPr>
            <w:tcW w:w="1134" w:type="dxa"/>
            <w:vAlign w:val="center"/>
          </w:tcPr>
          <w:p>
            <w:pPr>
              <w:widowControl/>
              <w:adjustRightInd w:val="0"/>
              <w:snapToGrid w:val="0"/>
              <w:spacing w:line="240" w:lineRule="auto"/>
              <w:jc w:val="center"/>
              <w:rPr>
                <w:sz w:val="22"/>
              </w:rPr>
            </w:pPr>
            <w:r>
              <w:rPr>
                <w:rFonts w:hint="eastAsia"/>
                <w:sz w:val="22"/>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83" w:type="dxa"/>
            <w:vAlign w:val="center"/>
          </w:tcPr>
          <w:p>
            <w:pPr>
              <w:widowControl/>
              <w:adjustRightInd w:val="0"/>
              <w:snapToGrid w:val="0"/>
              <w:spacing w:line="240" w:lineRule="auto"/>
              <w:rPr>
                <w:sz w:val="22"/>
              </w:rPr>
            </w:pPr>
            <w:r>
              <w:rPr>
                <w:rFonts w:hint="eastAsia"/>
                <w:sz w:val="22"/>
              </w:rPr>
              <w:t>怀匠心践匠行 做出彩汽车人</w:t>
            </w:r>
          </w:p>
        </w:tc>
        <w:tc>
          <w:tcPr>
            <w:tcW w:w="1671" w:type="dxa"/>
            <w:vAlign w:val="center"/>
          </w:tcPr>
          <w:p>
            <w:pPr>
              <w:widowControl/>
              <w:adjustRightInd w:val="0"/>
              <w:snapToGrid w:val="0"/>
              <w:spacing w:line="240" w:lineRule="auto"/>
              <w:jc w:val="center"/>
              <w:rPr>
                <w:sz w:val="22"/>
              </w:rPr>
            </w:pPr>
            <w:r>
              <w:rPr>
                <w:rFonts w:hint="eastAsia"/>
                <w:sz w:val="22"/>
              </w:rPr>
              <w:t>摄影与视频</w:t>
            </w:r>
          </w:p>
        </w:tc>
        <w:tc>
          <w:tcPr>
            <w:tcW w:w="1276" w:type="dxa"/>
            <w:vAlign w:val="center"/>
          </w:tcPr>
          <w:p>
            <w:pPr>
              <w:widowControl/>
              <w:adjustRightInd w:val="0"/>
              <w:snapToGrid w:val="0"/>
              <w:spacing w:line="240" w:lineRule="auto"/>
              <w:jc w:val="center"/>
              <w:rPr>
                <w:sz w:val="22"/>
              </w:rPr>
            </w:pPr>
            <w:r>
              <w:rPr>
                <w:rFonts w:hint="eastAsia"/>
                <w:sz w:val="22"/>
              </w:rPr>
              <w:t>记录短片</w:t>
            </w:r>
          </w:p>
        </w:tc>
        <w:tc>
          <w:tcPr>
            <w:tcW w:w="1701" w:type="dxa"/>
            <w:vAlign w:val="center"/>
          </w:tcPr>
          <w:p>
            <w:pPr>
              <w:widowControl/>
              <w:adjustRightInd w:val="0"/>
              <w:snapToGrid w:val="0"/>
              <w:spacing w:line="240" w:lineRule="auto"/>
              <w:jc w:val="center"/>
              <w:rPr>
                <w:sz w:val="22"/>
              </w:rPr>
            </w:pPr>
            <w:r>
              <w:rPr>
                <w:rFonts w:hint="eastAsia"/>
                <w:sz w:val="22"/>
              </w:rPr>
              <w:t>刘玄、陈文龙、王浩楠、唐嗣钰</w:t>
            </w:r>
          </w:p>
        </w:tc>
        <w:tc>
          <w:tcPr>
            <w:tcW w:w="1163" w:type="dxa"/>
            <w:vAlign w:val="center"/>
          </w:tcPr>
          <w:p>
            <w:pPr>
              <w:widowControl/>
              <w:adjustRightInd w:val="0"/>
              <w:snapToGrid w:val="0"/>
              <w:spacing w:line="240" w:lineRule="auto"/>
              <w:jc w:val="center"/>
              <w:rPr>
                <w:rFonts w:hint="eastAsia"/>
                <w:sz w:val="22"/>
              </w:rPr>
            </w:pPr>
            <w:r>
              <w:rPr>
                <w:rFonts w:hint="eastAsia"/>
                <w:sz w:val="22"/>
              </w:rPr>
              <w:t>孔跃、</w:t>
            </w:r>
          </w:p>
          <w:p>
            <w:pPr>
              <w:widowControl/>
              <w:adjustRightInd w:val="0"/>
              <w:snapToGrid w:val="0"/>
              <w:spacing w:line="240" w:lineRule="auto"/>
              <w:jc w:val="center"/>
              <w:rPr>
                <w:sz w:val="22"/>
              </w:rPr>
            </w:pPr>
            <w:r>
              <w:rPr>
                <w:rFonts w:hint="eastAsia"/>
                <w:sz w:val="22"/>
              </w:rPr>
              <w:t>蒋瑶瑶</w:t>
            </w:r>
          </w:p>
        </w:tc>
        <w:tc>
          <w:tcPr>
            <w:tcW w:w="1134" w:type="dxa"/>
            <w:vAlign w:val="center"/>
          </w:tcPr>
          <w:p>
            <w:pPr>
              <w:widowControl/>
              <w:adjustRightInd w:val="0"/>
              <w:snapToGrid w:val="0"/>
              <w:spacing w:line="240" w:lineRule="auto"/>
              <w:jc w:val="center"/>
              <w:rPr>
                <w:sz w:val="22"/>
              </w:rPr>
            </w:pPr>
            <w:r>
              <w:rPr>
                <w:rFonts w:hint="eastAsia"/>
                <w:sz w:val="22"/>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4" w:hRule="atLeast"/>
          <w:jc w:val="center"/>
        </w:trPr>
        <w:tc>
          <w:tcPr>
            <w:tcW w:w="2183" w:type="dxa"/>
            <w:vAlign w:val="center"/>
          </w:tcPr>
          <w:p>
            <w:pPr>
              <w:widowControl/>
              <w:adjustRightInd w:val="0"/>
              <w:snapToGrid w:val="0"/>
              <w:spacing w:line="240" w:lineRule="auto"/>
              <w:rPr>
                <w:sz w:val="22"/>
              </w:rPr>
            </w:pPr>
            <w:r>
              <w:rPr>
                <w:rFonts w:hint="eastAsia"/>
                <w:sz w:val="22"/>
              </w:rPr>
              <w:t>青春是一场美丽的邂逅</w:t>
            </w:r>
          </w:p>
        </w:tc>
        <w:tc>
          <w:tcPr>
            <w:tcW w:w="1671" w:type="dxa"/>
            <w:vAlign w:val="center"/>
          </w:tcPr>
          <w:p>
            <w:pPr>
              <w:widowControl/>
              <w:adjustRightInd w:val="0"/>
              <w:snapToGrid w:val="0"/>
              <w:spacing w:line="240" w:lineRule="auto"/>
              <w:jc w:val="center"/>
              <w:rPr>
                <w:sz w:val="22"/>
              </w:rPr>
            </w:pPr>
            <w:r>
              <w:rPr>
                <w:rFonts w:hint="eastAsia"/>
                <w:sz w:val="22"/>
              </w:rPr>
              <w:t>摄影与视频</w:t>
            </w:r>
          </w:p>
        </w:tc>
        <w:tc>
          <w:tcPr>
            <w:tcW w:w="1276" w:type="dxa"/>
            <w:vAlign w:val="center"/>
          </w:tcPr>
          <w:p>
            <w:pPr>
              <w:widowControl/>
              <w:adjustRightInd w:val="0"/>
              <w:snapToGrid w:val="0"/>
              <w:spacing w:line="240" w:lineRule="auto"/>
              <w:jc w:val="center"/>
              <w:rPr>
                <w:sz w:val="22"/>
              </w:rPr>
            </w:pPr>
            <w:r>
              <w:rPr>
                <w:rFonts w:hint="eastAsia"/>
                <w:sz w:val="22"/>
              </w:rPr>
              <w:t>微电影</w:t>
            </w:r>
          </w:p>
        </w:tc>
        <w:tc>
          <w:tcPr>
            <w:tcW w:w="1701" w:type="dxa"/>
            <w:vAlign w:val="center"/>
          </w:tcPr>
          <w:p>
            <w:pPr>
              <w:widowControl/>
              <w:adjustRightInd w:val="0"/>
              <w:snapToGrid w:val="0"/>
              <w:spacing w:line="240" w:lineRule="auto"/>
              <w:jc w:val="center"/>
              <w:rPr>
                <w:sz w:val="22"/>
              </w:rPr>
            </w:pPr>
            <w:r>
              <w:rPr>
                <w:rFonts w:hint="eastAsia"/>
                <w:sz w:val="22"/>
              </w:rPr>
              <w:t>艾伦、程多娇</w:t>
            </w:r>
          </w:p>
        </w:tc>
        <w:tc>
          <w:tcPr>
            <w:tcW w:w="1163" w:type="dxa"/>
            <w:vAlign w:val="center"/>
          </w:tcPr>
          <w:p>
            <w:pPr>
              <w:widowControl/>
              <w:adjustRightInd w:val="0"/>
              <w:snapToGrid w:val="0"/>
              <w:spacing w:line="240" w:lineRule="auto"/>
              <w:jc w:val="center"/>
              <w:rPr>
                <w:rFonts w:hint="eastAsia"/>
                <w:sz w:val="22"/>
              </w:rPr>
            </w:pPr>
            <w:r>
              <w:rPr>
                <w:rFonts w:hint="eastAsia"/>
                <w:sz w:val="22"/>
              </w:rPr>
              <w:t>孔跃、</w:t>
            </w:r>
          </w:p>
          <w:p>
            <w:pPr>
              <w:widowControl/>
              <w:adjustRightInd w:val="0"/>
              <w:snapToGrid w:val="0"/>
              <w:spacing w:line="240" w:lineRule="auto"/>
              <w:jc w:val="center"/>
              <w:rPr>
                <w:sz w:val="22"/>
              </w:rPr>
            </w:pPr>
            <w:r>
              <w:rPr>
                <w:rFonts w:hint="eastAsia"/>
                <w:sz w:val="22"/>
              </w:rPr>
              <w:t>蒋瑶瑶</w:t>
            </w:r>
          </w:p>
        </w:tc>
        <w:tc>
          <w:tcPr>
            <w:tcW w:w="1134" w:type="dxa"/>
            <w:vAlign w:val="center"/>
          </w:tcPr>
          <w:p>
            <w:pPr>
              <w:widowControl/>
              <w:adjustRightInd w:val="0"/>
              <w:snapToGrid w:val="0"/>
              <w:spacing w:line="240" w:lineRule="auto"/>
              <w:jc w:val="center"/>
              <w:rPr>
                <w:sz w:val="22"/>
              </w:rPr>
            </w:pPr>
            <w:r>
              <w:rPr>
                <w:rFonts w:hint="eastAsia"/>
                <w:sz w:val="22"/>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 w:hRule="atLeast"/>
          <w:jc w:val="center"/>
        </w:trPr>
        <w:tc>
          <w:tcPr>
            <w:tcW w:w="2183" w:type="dxa"/>
            <w:vAlign w:val="center"/>
          </w:tcPr>
          <w:p>
            <w:pPr>
              <w:widowControl/>
              <w:adjustRightInd w:val="0"/>
              <w:snapToGrid w:val="0"/>
              <w:spacing w:line="240" w:lineRule="auto"/>
              <w:rPr>
                <w:sz w:val="22"/>
              </w:rPr>
            </w:pPr>
            <w:r>
              <w:rPr>
                <w:rFonts w:hint="eastAsia"/>
                <w:sz w:val="22"/>
              </w:rPr>
              <w:t>学院风</w:t>
            </w:r>
          </w:p>
        </w:tc>
        <w:tc>
          <w:tcPr>
            <w:tcW w:w="1671" w:type="dxa"/>
            <w:vAlign w:val="center"/>
          </w:tcPr>
          <w:p>
            <w:pPr>
              <w:widowControl/>
              <w:adjustRightInd w:val="0"/>
              <w:snapToGrid w:val="0"/>
              <w:spacing w:line="240" w:lineRule="auto"/>
              <w:jc w:val="center"/>
              <w:rPr>
                <w:sz w:val="22"/>
              </w:rPr>
            </w:pPr>
            <w:r>
              <w:rPr>
                <w:rFonts w:hint="eastAsia"/>
                <w:sz w:val="22"/>
              </w:rPr>
              <w:t>摄影与视频</w:t>
            </w:r>
          </w:p>
        </w:tc>
        <w:tc>
          <w:tcPr>
            <w:tcW w:w="1276" w:type="dxa"/>
            <w:vAlign w:val="center"/>
          </w:tcPr>
          <w:p>
            <w:pPr>
              <w:widowControl/>
              <w:adjustRightInd w:val="0"/>
              <w:snapToGrid w:val="0"/>
              <w:spacing w:line="240" w:lineRule="auto"/>
              <w:jc w:val="center"/>
              <w:rPr>
                <w:sz w:val="22"/>
              </w:rPr>
            </w:pPr>
            <w:r>
              <w:rPr>
                <w:rFonts w:hint="eastAsia"/>
                <w:sz w:val="22"/>
              </w:rPr>
              <w:t>记录短片</w:t>
            </w:r>
          </w:p>
        </w:tc>
        <w:tc>
          <w:tcPr>
            <w:tcW w:w="1701" w:type="dxa"/>
            <w:vAlign w:val="center"/>
          </w:tcPr>
          <w:p>
            <w:pPr>
              <w:widowControl/>
              <w:adjustRightInd w:val="0"/>
              <w:snapToGrid w:val="0"/>
              <w:spacing w:line="240" w:lineRule="auto"/>
              <w:jc w:val="center"/>
              <w:rPr>
                <w:sz w:val="22"/>
              </w:rPr>
            </w:pPr>
            <w:r>
              <w:rPr>
                <w:rFonts w:hint="eastAsia"/>
                <w:sz w:val="22"/>
              </w:rPr>
              <w:t>夏国扬、樊昊东、齐聪</w:t>
            </w:r>
          </w:p>
        </w:tc>
        <w:tc>
          <w:tcPr>
            <w:tcW w:w="1163" w:type="dxa"/>
            <w:vAlign w:val="center"/>
          </w:tcPr>
          <w:p>
            <w:pPr>
              <w:widowControl/>
              <w:adjustRightInd w:val="0"/>
              <w:snapToGrid w:val="0"/>
              <w:spacing w:line="240" w:lineRule="auto"/>
              <w:jc w:val="center"/>
              <w:rPr>
                <w:sz w:val="22"/>
              </w:rPr>
            </w:pPr>
            <w:r>
              <w:rPr>
                <w:rFonts w:hint="eastAsia"/>
                <w:sz w:val="22"/>
              </w:rPr>
              <w:t>陆炳林、于德龙</w:t>
            </w:r>
          </w:p>
        </w:tc>
        <w:tc>
          <w:tcPr>
            <w:tcW w:w="1134" w:type="dxa"/>
            <w:vAlign w:val="center"/>
          </w:tcPr>
          <w:p>
            <w:pPr>
              <w:widowControl/>
              <w:adjustRightInd w:val="0"/>
              <w:snapToGrid w:val="0"/>
              <w:spacing w:line="240" w:lineRule="auto"/>
              <w:jc w:val="center"/>
              <w:rPr>
                <w:sz w:val="22"/>
              </w:rPr>
            </w:pPr>
            <w:r>
              <w:rPr>
                <w:rFonts w:hint="eastAsia"/>
                <w:sz w:val="22"/>
              </w:rPr>
              <w:t>三等奖</w:t>
            </w:r>
          </w:p>
        </w:tc>
      </w:tr>
    </w:tbl>
    <w:p>
      <w:pPr>
        <w:ind w:firstLine="640"/>
        <w:jc w:val="both"/>
        <w:rPr>
          <w:rFonts w:hint="eastAsia" w:ascii="仿宋" w:hAnsi="仿宋" w:cs="仿宋"/>
          <w:kern w:val="0"/>
          <w:szCs w:val="32"/>
        </w:rPr>
      </w:pPr>
    </w:p>
    <w:p>
      <w:pPr>
        <w:ind w:firstLine="640"/>
        <w:jc w:val="both"/>
        <w:rPr>
          <w:rFonts w:ascii="仿宋" w:hAnsi="仿宋" w:cs="仿宋"/>
          <w:szCs w:val="32"/>
        </w:rPr>
      </w:pPr>
      <w:r>
        <w:rPr>
          <w:rFonts w:hint="eastAsia" w:ascii="仿宋" w:hAnsi="仿宋" w:cs="仿宋"/>
          <w:kern w:val="0"/>
          <w:szCs w:val="32"/>
        </w:rPr>
        <w:t>强化班主任队伍建设为育人成才提供保障。</w:t>
      </w:r>
      <w:r>
        <w:rPr>
          <w:rFonts w:hint="eastAsia" w:ascii="仿宋" w:hAnsi="仿宋" w:cs="宋体"/>
          <w:szCs w:val="28"/>
        </w:rPr>
        <w:t>依照班主任管理制度，组织完成了班主任辅导员的素质教育课的评比交流活动；结合市新任班主任培训方案，制定了校内新任班主任培训计划，选拔有多年工作经验的优秀班主任担任新任班主任的培训导师，参与组织开展18级新任班主任培训指导；</w:t>
      </w:r>
      <w:r>
        <w:rPr>
          <w:rFonts w:hint="eastAsia" w:ascii="仿宋" w:hAnsi="仿宋"/>
          <w:szCs w:val="28"/>
        </w:rPr>
        <w:t>“讲述身边故事，班主任教育故事分享活动”,确定主题</w:t>
      </w:r>
      <w:r>
        <w:rPr>
          <w:rFonts w:hint="eastAsia" w:ascii="仿宋" w:hAnsi="仿宋" w:cs="宋体"/>
          <w:szCs w:val="28"/>
        </w:rPr>
        <w:t>在寒暑两假前组织协调三系学管办召开工作交流会。</w:t>
      </w:r>
      <w:r>
        <w:rPr>
          <w:rFonts w:hint="eastAsia" w:ascii="仿宋" w:hAnsi="仿宋" w:cs="仿宋"/>
          <w:szCs w:val="32"/>
        </w:rPr>
        <w:t>同时</w:t>
      </w:r>
      <w:r>
        <w:rPr>
          <w:rFonts w:hint="eastAsia" w:ascii="仿宋_GB2312" w:hAnsi="仿宋_GB2312" w:eastAsia="仿宋_GB2312" w:cs="宋体"/>
          <w:szCs w:val="28"/>
        </w:rPr>
        <w:t>组织开展了学院班主任基本功大赛等系列旨在提升班主任工作能力的业务培训工作，经过校内的班会说课比赛和教育故事分享活动，</w:t>
      </w:r>
      <w:r>
        <w:rPr>
          <w:rFonts w:hint="eastAsia" w:ascii="仿宋" w:hAnsi="仿宋" w:cs="仿宋"/>
          <w:szCs w:val="32"/>
        </w:rPr>
        <w:t>选拔组织部分班主任</w:t>
      </w:r>
      <w:r>
        <w:rPr>
          <w:rFonts w:hint="eastAsia" w:ascii="仿宋_GB2312" w:hAnsi="仿宋_GB2312" w:eastAsia="仿宋_GB2312" w:cs="宋体"/>
          <w:szCs w:val="28"/>
        </w:rPr>
        <w:t>参加市班主任能力提升培训竞赛，</w:t>
      </w:r>
      <w:r>
        <w:rPr>
          <w:rFonts w:hint="eastAsia" w:ascii="仿宋" w:hAnsi="仿宋" w:cs="仿宋"/>
          <w:szCs w:val="32"/>
        </w:rPr>
        <w:t>带回来满足技工学校德育工作需要的新经验、新举措，帮助指导学生</w:t>
      </w:r>
      <w:r>
        <w:rPr>
          <w:rFonts w:hint="eastAsia" w:ascii="仿宋" w:hAnsi="仿宋" w:cs="仿宋"/>
          <w:kern w:val="0"/>
          <w:szCs w:val="32"/>
        </w:rPr>
        <w:t>自觉遵循道德规范，形成知行统一、言行一致的优良</w:t>
      </w:r>
      <w:r>
        <w:rPr>
          <w:rFonts w:hint="eastAsia" w:ascii="仿宋" w:hAnsi="仿宋" w:cs="仿宋"/>
        </w:rPr>
        <w:t>品质</w:t>
      </w:r>
      <w:r>
        <w:rPr>
          <w:rFonts w:hint="eastAsia" w:ascii="仿宋" w:hAnsi="仿宋" w:cs="仿宋"/>
          <w:kern w:val="0"/>
          <w:szCs w:val="32"/>
        </w:rPr>
        <w:t>。班主任项慧慧在2018年沈阳市中等职业学校班主任专业能力提升活动中获得第三名；班主任鲁晓静代表沈阳市在201</w:t>
      </w:r>
      <w:r>
        <w:rPr>
          <w:rFonts w:ascii="仿宋" w:hAnsi="仿宋" w:cs="仿宋"/>
          <w:kern w:val="0"/>
          <w:szCs w:val="32"/>
        </w:rPr>
        <w:t>8</w:t>
      </w:r>
      <w:r>
        <w:rPr>
          <w:rFonts w:hint="eastAsia" w:ascii="仿宋" w:hAnsi="仿宋" w:cs="仿宋"/>
          <w:kern w:val="0"/>
          <w:szCs w:val="32"/>
        </w:rPr>
        <w:t>年全国中等职业学校班主任专业能力研学提升活动中获得综合一等奖的优异成绩。</w:t>
      </w:r>
    </w:p>
    <w:p>
      <w:pPr>
        <w:rPr>
          <w:rFonts w:ascii="仿宋" w:hAnsi="仿宋" w:cs="仿宋"/>
          <w:b/>
          <w:szCs w:val="32"/>
        </w:rPr>
      </w:pPr>
      <w:r>
        <w:rPr>
          <w:rFonts w:hint="eastAsia" w:ascii="仿宋" w:hAnsi="仿宋" w:cs="仿宋"/>
          <w:b/>
          <w:szCs w:val="32"/>
        </w:rPr>
        <w:t>3.6党建情况</w:t>
      </w:r>
    </w:p>
    <w:p>
      <w:pPr>
        <w:ind w:firstLine="640"/>
        <w:jc w:val="both"/>
        <w:rPr>
          <w:rFonts w:ascii="仿宋" w:hAnsi="仿宋" w:cs="仿宋"/>
          <w:szCs w:val="32"/>
        </w:rPr>
      </w:pPr>
      <w:r>
        <w:rPr>
          <w:rFonts w:hint="eastAsia" w:ascii="仿宋" w:hAnsi="仿宋" w:cs="仿宋"/>
          <w:szCs w:val="32"/>
        </w:rPr>
        <w:t>学院党委坚持以党的十八大精神为指导,以党的十九大召开和“两学一做”学习教育</w:t>
      </w:r>
      <w:r>
        <w:rPr>
          <w:rFonts w:hint="eastAsia" w:ascii="仿宋" w:hAnsi="仿宋" w:cs="仿宋"/>
        </w:rPr>
        <w:t>常态</w:t>
      </w:r>
      <w:r>
        <w:rPr>
          <w:rFonts w:hint="eastAsia" w:ascii="仿宋" w:hAnsi="仿宋" w:cs="仿宋"/>
          <w:szCs w:val="32"/>
        </w:rPr>
        <w:t>化为契机,以党风廉政建设为抓手，紧紧围绕中心，服务大局，求真务实，开拓创新，团结带领广大党员和群众积极为学院发展做贡献，充分发挥了党委的政治核心作用，取得了一定成绩。截至目前,学院党员干部违法违纪事件为零，群众信访投诉为零。</w:t>
      </w:r>
    </w:p>
    <w:p>
      <w:pPr>
        <w:ind w:firstLine="640"/>
        <w:jc w:val="both"/>
        <w:rPr>
          <w:rFonts w:ascii="仿宋" w:hAnsi="仿宋" w:cs="仿宋"/>
          <w:szCs w:val="32"/>
        </w:rPr>
      </w:pPr>
      <w:r>
        <w:rPr>
          <w:rFonts w:hint="eastAsia" w:ascii="仿宋" w:hAnsi="仿宋" w:cs="仿宋"/>
          <w:bCs/>
          <w:szCs w:val="32"/>
        </w:rPr>
        <w:t>一是深入开展 “两学一做”学习教育以及学习宣传贯彻十九大精神，取得初步成效。学</w:t>
      </w:r>
      <w:r>
        <w:rPr>
          <w:rFonts w:hint="eastAsia" w:ascii="仿宋" w:hAnsi="仿宋" w:cs="仿宋"/>
          <w:szCs w:val="32"/>
        </w:rPr>
        <w:t>院党委认真贯彻落实十九大精神和“两学一做”学习教育的部署和安排，结合学院实际,制定下发了学习宣传十九大精神和“两学一做”学习教育方案，党政班子成员坚持到基层党支部参加活动，共为支部党员上党课27次；基层支部坚持“三会一课”制度和党日活动制度，9个支部书记上党课18次；每名党员撰写心得体会4篇。制定完善了党委各项工作制度共31条，并印发学习。</w:t>
      </w:r>
    </w:p>
    <w:p>
      <w:pPr>
        <w:ind w:firstLine="640"/>
        <w:jc w:val="both"/>
        <w:rPr>
          <w:rFonts w:ascii="仿宋" w:hAnsi="仿宋" w:cs="仿宋"/>
          <w:szCs w:val="32"/>
        </w:rPr>
      </w:pPr>
      <w:r>
        <w:rPr>
          <w:rFonts w:hint="eastAsia" w:ascii="仿宋" w:hAnsi="仿宋" w:cs="仿宋"/>
          <w:bCs/>
          <w:szCs w:val="32"/>
        </w:rPr>
        <w:t>二是加强基层组织建设，发挥战斗堡垒作用。</w:t>
      </w:r>
      <w:r>
        <w:rPr>
          <w:rFonts w:hint="eastAsia" w:ascii="仿宋" w:hAnsi="仿宋" w:cs="仿宋"/>
          <w:szCs w:val="32"/>
        </w:rPr>
        <w:t>根据党建工作的实际需要，对支部组织结构进行了调整，及时更换、补充支部书记，加强了党建工作力量。调整后的党支部班子健全、制度完善，支部活动开展有序。党员发展工作程序严格规范，全年内共吸纳新党员10人（含学生） ；预备党员转正3人，为党组织输送了新鲜血液。召开了庆祝建党97周年党员大会、纪念建党97周年献礼十九大主题升旗仪式以及赴本溪参观东北抗联基地，重走抗联路主题实践等学习教育实践活动。</w:t>
      </w:r>
    </w:p>
    <w:p>
      <w:pPr>
        <w:ind w:firstLine="640"/>
        <w:jc w:val="both"/>
        <w:rPr>
          <w:rFonts w:ascii="仿宋" w:hAnsi="仿宋" w:cs="仿宋"/>
          <w:szCs w:val="32"/>
          <w:highlight w:val="yellow"/>
        </w:rPr>
      </w:pPr>
      <w:r>
        <w:rPr>
          <w:rFonts w:hint="eastAsia" w:ascii="仿宋" w:hAnsi="仿宋" w:cs="仿宋"/>
          <w:bCs/>
          <w:szCs w:val="32"/>
        </w:rPr>
        <w:t>三是发挥纪检监察作用,筑牢反腐倡廉防线。</w:t>
      </w:r>
      <w:r>
        <w:rPr>
          <w:rFonts w:hint="eastAsia" w:ascii="仿宋" w:hAnsi="仿宋" w:cs="仿宋"/>
          <w:szCs w:val="32"/>
        </w:rPr>
        <w:t>学院纪委先后组织党员干部认真学习《廉政准则》以及廉洁自律方面的有关规定，签订党风廉政建设责任书、观看了十集大型政论专题片《将改革进行到底》、开展了一次警示教育以及开展了“严守校规校纪，争做遵规守纪好员工”学习教育活动。为进一步提高党员干部的廉洁自律意识，</w:t>
      </w:r>
      <w:r>
        <w:rPr>
          <w:rFonts w:hint="eastAsia" w:ascii="仿宋" w:hAnsi="仿宋" w:cs="仿宋"/>
          <w:color w:val="222222"/>
          <w:szCs w:val="32"/>
          <w:shd w:val="clear" w:color="auto" w:fill="FFFFFF"/>
        </w:rPr>
        <w:t>时刻保持清醒头脑，筑牢思想防线,自觉做到为民、务实、清廉。</w:t>
      </w:r>
    </w:p>
    <w:p>
      <w:pPr>
        <w:ind w:firstLine="640"/>
        <w:jc w:val="both"/>
        <w:rPr>
          <w:rFonts w:ascii="仿宋" w:hAnsi="仿宋" w:cs="仿宋"/>
          <w:szCs w:val="32"/>
          <w:highlight w:val="yellow"/>
        </w:rPr>
      </w:pPr>
      <w:r>
        <w:rPr>
          <w:rFonts w:hint="eastAsia" w:ascii="仿宋" w:hAnsi="仿宋" w:cs="仿宋"/>
          <w:szCs w:val="32"/>
        </w:rPr>
        <w:t>四是服务学院中心工作，发挥党建保障作用。学院党委以服务和推动学院中心工作为己任，带领广大党员紧密围绕教育教学、学生管理和招生等开展“党员工程”和岗位竞赛活动。在共产党员招生工程活动中，先是由4名党员3名学生组成的小分队赴康平开辟招生生源地，后由56名共产党员组成28个小分队放弃休息日，分赴市内五区的中考考点，与家长和考生进行面对面的宣传，在招生宣传活动中，党员小分队发放传单4000余份，接待家长500余名。学院党委在暑期还开展了“为党旗添光彩、为学院招生做贡献”的假期主题活动，号召广大党员利用暑期休息时间，通过社会资源和家庭资源为学院招生做贡献，为学院招生生源50名新生。今年党委开展了“立足岗位做贡献，大干40天，冲刺年目标”主题活动，各支部、各支会围绕活动主题，组织开展了学习统一思想和员工大讨论、水电管理、竞赛比拼等形式多样的活动，强化了责任意识，履行了岗位职责。其中学习和员工大讨论活动中，广大员工积极参与，集思广益，为学院的发展、创收献言献策，共汇集合理化建议143条，通过讨论使员工改变了观念，改变了作风，形成了热爱学校，关心学校，奉献学校的良好氛围。更加</w:t>
      </w:r>
      <w:r>
        <w:rPr>
          <w:rFonts w:ascii="仿宋" w:hAnsi="仿宋" w:cs="仿宋"/>
          <w:szCs w:val="32"/>
        </w:rPr>
        <w:t>引导了广大党员干部自觉把</w:t>
      </w:r>
      <w:r>
        <w:rPr>
          <w:rFonts w:hint="eastAsia" w:ascii="仿宋" w:hAnsi="仿宋" w:cs="仿宋"/>
          <w:szCs w:val="32"/>
        </w:rPr>
        <w:t>创收工作</w:t>
      </w:r>
      <w:r>
        <w:rPr>
          <w:rFonts w:ascii="仿宋" w:hAnsi="仿宋" w:cs="仿宋"/>
          <w:szCs w:val="32"/>
        </w:rPr>
        <w:t>放在心上、体现在作风上、落实在行动上。</w:t>
      </w:r>
      <w:r>
        <w:rPr>
          <w:rFonts w:hint="eastAsia" w:ascii="仿宋" w:hAnsi="仿宋" w:cs="仿宋"/>
          <w:szCs w:val="32"/>
        </w:rPr>
        <w:t>各党支部先后开展了辅导员班主任基本功模拟答辩比赛，知识竞赛、学习十九大答题等，大力营造了校园内比学赶帮超的浓厚氛围，促进了教育教学工作的顺利开展。</w:t>
      </w:r>
    </w:p>
    <w:p>
      <w:pPr>
        <w:rPr>
          <w:rFonts w:ascii="黑体" w:hAnsi="黑体" w:eastAsia="黑体" w:cs="黑体"/>
          <w:szCs w:val="32"/>
        </w:rPr>
      </w:pPr>
      <w:r>
        <w:rPr>
          <w:rFonts w:hint="eastAsia" w:ascii="黑体" w:hAnsi="黑体" w:eastAsia="黑体" w:cs="黑体"/>
          <w:szCs w:val="32"/>
        </w:rPr>
        <w:t>4.校企合作</w:t>
      </w:r>
    </w:p>
    <w:p>
      <w:pPr>
        <w:rPr>
          <w:rFonts w:ascii="仿宋" w:hAnsi="仿宋" w:cs="仿宋"/>
          <w:b/>
          <w:szCs w:val="32"/>
        </w:rPr>
      </w:pPr>
      <w:r>
        <w:rPr>
          <w:rFonts w:hint="eastAsia" w:ascii="仿宋" w:hAnsi="仿宋" w:cs="仿宋"/>
          <w:b/>
          <w:szCs w:val="32"/>
        </w:rPr>
        <w:t>4.1校企合作开展情况及效果</w:t>
      </w:r>
    </w:p>
    <w:p>
      <w:pPr>
        <w:ind w:firstLine="640" w:firstLineChars="200"/>
        <w:rPr>
          <w:rFonts w:ascii="仿宋" w:hAnsi="仿宋" w:cs="仿宋"/>
          <w:szCs w:val="32"/>
        </w:rPr>
      </w:pPr>
      <w:r>
        <w:rPr>
          <w:rFonts w:hint="eastAsia" w:ascii="仿宋" w:hAnsi="仿宋" w:cs="仿宋"/>
          <w:szCs w:val="32"/>
        </w:rPr>
        <w:t>学院立足华晨汽车集团、依托沈阳装备制造业、借力国际化办学优势，与丰田在华事业体等100多家企业在专业建设、实训基地建设、就业基地建设、企业技术人员培训上开展了长期、广泛、深入的合作，形成了以学校为主体，企业和学校共同教育、管理和训练学生的教学模式，取得较好的社会效益。</w:t>
      </w:r>
    </w:p>
    <w:p>
      <w:pPr>
        <w:ind w:firstLine="640" w:firstLineChars="200"/>
        <w:rPr>
          <w:rFonts w:ascii="仿宋" w:hAnsi="仿宋" w:cs="仿宋"/>
          <w:szCs w:val="32"/>
        </w:rPr>
      </w:pPr>
      <w:r>
        <w:rPr>
          <w:rFonts w:hint="eastAsia" w:ascii="仿宋" w:hAnsi="仿宋" w:cs="仿宋"/>
        </w:rPr>
        <w:t>一是</w:t>
      </w:r>
      <w:r>
        <w:rPr>
          <w:rFonts w:hint="eastAsia" w:ascii="仿宋" w:hAnsi="仿宋" w:cs="仿宋"/>
          <w:szCs w:val="32"/>
        </w:rPr>
        <w:t>建立企校双师联合培养制度，构建以“企业需求为导向、技能提升为目标”为特色的课程体系，创新学徒制培养模式，以技能大师为引领、以骨干教师为主体、以能工巧匠为支撑，校企合作强化师资团队建设。同时以国家职业标准为依据，以企业生产需要及社会需求为基础，建立学校、行业、企业等多方共同参与的“学徒制”培训质量评价机制，构建了以“能力为本位”的培训质量评价体系。</w:t>
      </w:r>
    </w:p>
    <w:p>
      <w:pPr>
        <w:ind w:firstLine="640" w:firstLineChars="200"/>
        <w:rPr>
          <w:rFonts w:ascii="仿宋" w:hAnsi="仿宋" w:cs="仿宋"/>
          <w:szCs w:val="32"/>
        </w:rPr>
      </w:pPr>
      <w:r>
        <w:rPr>
          <w:rFonts w:hint="eastAsia" w:ascii="仿宋" w:hAnsi="仿宋" w:cs="仿宋"/>
          <w:szCs w:val="32"/>
        </w:rPr>
        <w:t>二是引企入校，</w:t>
      </w:r>
      <w:r>
        <w:rPr>
          <w:rFonts w:ascii="仿宋" w:hAnsi="仿宋" w:cs="仿宋"/>
        </w:rPr>
        <w:t>产教研深度融合，共建实训基地，开拓人才培养新途径。</w:t>
      </w:r>
      <w:r>
        <w:rPr>
          <w:rFonts w:hint="eastAsia" w:ascii="仿宋" w:hAnsi="仿宋" w:cs="仿宋"/>
          <w:color w:val="333333"/>
          <w:szCs w:val="32"/>
        </w:rPr>
        <w:t>学院与沈阳易配诚共建400呼叫中心，为学生贴近生产岗位实习、实训，打下良好的基础，为教师更好的了解企业生产经营活动，了解生产岗位所需能力要求提供了可靠地保证。</w:t>
      </w:r>
    </w:p>
    <w:p>
      <w:pPr>
        <w:ind w:firstLine="640" w:firstLineChars="200"/>
        <w:rPr>
          <w:rFonts w:ascii="仿宋" w:hAnsi="仿宋" w:cs="仿宋"/>
          <w:szCs w:val="32"/>
        </w:rPr>
      </w:pPr>
      <w:r>
        <w:rPr>
          <w:rFonts w:hint="eastAsia" w:ascii="仿宋" w:hAnsi="仿宋" w:cs="仿宋"/>
        </w:rPr>
        <w:t>三是</w:t>
      </w:r>
      <w:r>
        <w:rPr>
          <w:rFonts w:hint="eastAsia" w:ascii="仿宋" w:hAnsi="仿宋" w:cs="仿宋"/>
          <w:szCs w:val="32"/>
        </w:rPr>
        <w:t>在学院“丰田金杯教学模式”人才培养总体框架下，校企合作共同实施中华维修岗订单班“订单式”人才培养模式。构建了基于工作过程的课程体系，开发了3门工学结合专业核心课程，建设了课程资源库，制订了人才培养质量评价方案，着重建设</w:t>
      </w:r>
      <w:r>
        <w:rPr>
          <w:rFonts w:hint="eastAsia" w:ascii="仿宋" w:hAnsi="仿宋" w:cs="仿宋"/>
          <w:szCs w:val="32"/>
          <w:lang w:eastAsia="zh-CN"/>
        </w:rPr>
        <w:t>了</w:t>
      </w:r>
      <w:r>
        <w:rPr>
          <w:rFonts w:hint="eastAsia" w:ascii="仿宋" w:hAnsi="仿宋" w:cs="仿宋"/>
          <w:szCs w:val="32"/>
        </w:rPr>
        <w:t>4个“教学做一体化”的校内实训教学场地。</w:t>
      </w:r>
    </w:p>
    <w:p>
      <w:pPr>
        <w:ind w:firstLine="640" w:firstLineChars="200"/>
        <w:rPr>
          <w:rFonts w:ascii="仿宋" w:hAnsi="仿宋" w:cs="仿宋"/>
        </w:rPr>
      </w:pPr>
      <w:r>
        <w:rPr>
          <w:rFonts w:ascii="仿宋" w:hAnsi="仿宋" w:cs="仿宋"/>
        </w:rPr>
        <w:t>四是成立定向班</w:t>
      </w:r>
      <w:r>
        <w:rPr>
          <w:rFonts w:hint="eastAsia" w:ascii="仿宋" w:hAnsi="仿宋" w:cs="仿宋"/>
        </w:rPr>
        <w:t>，</w:t>
      </w:r>
      <w:r>
        <w:rPr>
          <w:rFonts w:ascii="仿宋" w:hAnsi="仿宋" w:cs="仿宋"/>
        </w:rPr>
        <w:t>协同育人，就业渠道顺畅。学院与天汽模合作成立定向班</w:t>
      </w:r>
      <w:r>
        <w:rPr>
          <w:rFonts w:hint="eastAsia" w:ascii="仿宋" w:hAnsi="仿宋" w:cs="仿宋"/>
        </w:rPr>
        <w:t>，</w:t>
      </w:r>
      <w:r>
        <w:rPr>
          <w:rFonts w:ascii="仿宋" w:hAnsi="仿宋" w:cs="仿宋"/>
        </w:rPr>
        <w:t>将企业文化、管理标准</w:t>
      </w:r>
      <w:r>
        <w:rPr>
          <w:rFonts w:hint="eastAsia" w:ascii="仿宋" w:hAnsi="仿宋" w:cs="仿宋"/>
        </w:rPr>
        <w:t>、职业生涯规划与创业就业指导等</w:t>
      </w:r>
      <w:r>
        <w:rPr>
          <w:rFonts w:ascii="仿宋" w:hAnsi="仿宋" w:cs="仿宋"/>
        </w:rPr>
        <w:t>引入教学环节，在校内实训基地将车间、工段、班组的管理和环境进行复制，使学生在校内就逐步养成规范的职业操守，潜移默化的接受企业文化熏陶，实现校企双方人才培养的无缝对接。</w:t>
      </w:r>
    </w:p>
    <w:p>
      <w:pPr>
        <w:ind w:firstLine="640" w:firstLineChars="200"/>
        <w:rPr>
          <w:rFonts w:ascii="仿宋" w:hAnsi="仿宋" w:cs="仿宋"/>
          <w:szCs w:val="32"/>
        </w:rPr>
      </w:pPr>
      <w:r>
        <w:rPr>
          <w:rFonts w:hint="eastAsia" w:ascii="仿宋" w:hAnsi="仿宋"/>
          <w:szCs w:val="32"/>
        </w:rPr>
        <w:t>五是校企联合打造专家型教学团队。华晨汽车工程研究院是我校“双师型”教师培养培训基地，定期开展专业教师教学实践能力提升培训。为加强专业建设，打造专家型的教学团队，学院先后聘请沈阳航空航天大学苗卫东教授、华南理工大学熊志勇博士、中国汽车工程学会陈永革教授、广州技师学院赵晓霞副教授、“大国工匠”方文墨为学院专业建设专家。</w:t>
      </w:r>
    </w:p>
    <w:p>
      <w:pPr>
        <w:rPr>
          <w:rFonts w:ascii="仿宋" w:hAnsi="仿宋" w:cs="仿宋"/>
          <w:b/>
          <w:szCs w:val="32"/>
        </w:rPr>
      </w:pPr>
      <w:r>
        <w:rPr>
          <w:rFonts w:hint="eastAsia" w:ascii="仿宋" w:hAnsi="仿宋" w:cs="仿宋"/>
          <w:b/>
          <w:szCs w:val="32"/>
        </w:rPr>
        <w:t>4.2学生实习情况</w:t>
      </w:r>
    </w:p>
    <w:p>
      <w:pPr>
        <w:ind w:firstLine="640" w:firstLineChars="200"/>
        <w:rPr>
          <w:rFonts w:ascii="仿宋" w:hAnsi="仿宋"/>
          <w:szCs w:val="32"/>
        </w:rPr>
      </w:pPr>
      <w:r>
        <w:rPr>
          <w:rFonts w:hint="eastAsia" w:ascii="仿宋" w:hAnsi="仿宋"/>
          <w:szCs w:val="32"/>
        </w:rPr>
        <w:t>学院为保证学生所学技能与岗位技能有效对接，提升学生岗位适应力，确保学生实习人人有岗位，个个受锻炼，全年提供实习岗位960个，人均实习岗位达2.25个，充分满足不同专业及不同技能水平学生的校外生产实习需求。针对技能水平拔尖，综合素质过硬的学生学院安排到操作技能要求高的企业及岗位，使学生在从事生产技能操作过程专业技能得到进一步提高。学生通过生产实习了解了企业，懂得了从校门步入社会后如何去适应岗位，如何去遵章守纪，如何去与人交往，懂得什么是尊重、什么是诚信、什么是忠诚，通过实习历练了学生，使学生逐步成长起来，同时学生在技能方面也得到了进一步提升。通过企业反馈，对我院学生的综合素质与学生的操作技能给予高度评价，被调查的企业满意度均100%。</w:t>
      </w:r>
    </w:p>
    <w:p>
      <w:pPr>
        <w:rPr>
          <w:rFonts w:ascii="黑体" w:hAnsi="黑体" w:eastAsia="黑体" w:cs="黑体"/>
          <w:szCs w:val="32"/>
        </w:rPr>
      </w:pPr>
      <w:r>
        <w:rPr>
          <w:rFonts w:hint="eastAsia" w:ascii="黑体" w:hAnsi="黑体" w:eastAsia="黑体" w:cs="黑体"/>
          <w:szCs w:val="32"/>
        </w:rPr>
        <w:t>5.社会贡献</w:t>
      </w:r>
    </w:p>
    <w:p>
      <w:pPr>
        <w:rPr>
          <w:rFonts w:ascii="仿宋" w:hAnsi="仿宋" w:cs="仿宋"/>
          <w:b/>
          <w:szCs w:val="32"/>
        </w:rPr>
      </w:pPr>
      <w:r>
        <w:rPr>
          <w:rFonts w:hint="eastAsia" w:ascii="仿宋" w:hAnsi="仿宋" w:cs="仿宋"/>
          <w:b/>
          <w:szCs w:val="32"/>
        </w:rPr>
        <w:t>5.1技术技能人才培养</w:t>
      </w:r>
    </w:p>
    <w:p>
      <w:pPr>
        <w:ind w:firstLine="640" w:firstLineChars="200"/>
        <w:rPr>
          <w:rFonts w:ascii="仿宋" w:hAnsi="仿宋" w:cs="仿宋"/>
          <w:szCs w:val="32"/>
        </w:rPr>
      </w:pPr>
      <w:r>
        <w:rPr>
          <w:rFonts w:hint="eastAsia" w:ascii="仿宋" w:hAnsi="仿宋" w:cs="仿宋"/>
          <w:szCs w:val="32"/>
        </w:rPr>
        <w:t>学院目前建成拥有铣工专业国家级技能大师工作室、钳工专业辽宁省技能大师工作室和沈阳市汽车修理工大师工作室</w:t>
      </w:r>
      <w:r>
        <w:rPr>
          <w:rFonts w:hint="eastAsia" w:ascii="仿宋" w:hAnsi="仿宋" w:cs="仿宋"/>
          <w:szCs w:val="32"/>
          <w:lang w:eastAsia="zh-CN"/>
        </w:rPr>
        <w:t>，</w:t>
      </w:r>
      <w:r>
        <w:rPr>
          <w:rFonts w:hint="eastAsia" w:ascii="仿宋" w:hAnsi="仿宋" w:cs="仿宋"/>
          <w:szCs w:val="32"/>
        </w:rPr>
        <w:t>开展技艺传承、竞赛集训、技能攻关等高技能人才培养工作。今年6月，我院原型制作项目选手满金龙、综合机械与自动化项目选手张浩代表辽宁省参加了世赛中国选拔赛，并双双进入国家集训队，为辽宁省争得了荣誉；2018年9月我院再一次被人社部命名为第45届世赛中国集训基地；2018年12月我院承担原型制作项目中国集训队选手的集训工作以及第二阶段第一次测试工作。我院教练员薛文同志被任命为原型制作项目国家集训队教练，全程参与对国家队选手的集训备战，为力争再创辉煌，贡献自己的力量。学院将技能竞赛作为人才培养的重要手段，鼓励支持广大师生参加各级各类职业技能大赛，为进一步提升师生技能水平，每年安排教练团队赴日本国进行技能交流，进一步提升学院技能人才培养质量。2018年在由辽宁省组织部、人社厅等五部委组织的辽宁省“振兴杯”职工职业技能竞赛中，我院教师赵兴恒、赵武阳分别获得车工、钳工第一名，为沈阳市争得荣誉。今年，我院教师曲骊、赵武阳被沈阳市授予“盛京大工匠”</w:t>
      </w:r>
      <w:r>
        <w:rPr>
          <w:rFonts w:hint="eastAsia" w:ascii="仿宋" w:hAnsi="仿宋" w:cs="仿宋"/>
          <w:szCs w:val="32"/>
          <w:lang w:eastAsia="zh-CN"/>
        </w:rPr>
        <w:t>。</w:t>
      </w:r>
      <w:r>
        <w:rPr>
          <w:rFonts w:hint="eastAsia" w:ascii="仿宋" w:hAnsi="仿宋" w:cs="仿宋"/>
          <w:szCs w:val="32"/>
        </w:rPr>
        <w:t>2018年，学院再一次被评为沈阳市高技能人才培养先进单位。</w:t>
      </w:r>
    </w:p>
    <w:p>
      <w:pPr>
        <w:rPr>
          <w:rFonts w:ascii="仿宋" w:hAnsi="仿宋" w:cs="仿宋"/>
          <w:b/>
          <w:szCs w:val="32"/>
        </w:rPr>
      </w:pPr>
      <w:r>
        <w:rPr>
          <w:rFonts w:hint="eastAsia" w:ascii="仿宋" w:hAnsi="仿宋" w:cs="仿宋"/>
          <w:b/>
          <w:szCs w:val="32"/>
        </w:rPr>
        <w:t>5.2社会服务</w:t>
      </w:r>
    </w:p>
    <w:p>
      <w:pPr>
        <w:spacing w:line="360" w:lineRule="auto"/>
        <w:ind w:firstLine="640"/>
        <w:rPr>
          <w:rFonts w:ascii="仿宋" w:hAnsi="仿宋" w:cs="宋体"/>
          <w:szCs w:val="32"/>
        </w:rPr>
      </w:pPr>
      <w:r>
        <w:rPr>
          <w:rFonts w:hint="eastAsia" w:ascii="仿宋" w:hAnsi="仿宋" w:cs="宋体"/>
          <w:szCs w:val="32"/>
        </w:rPr>
        <w:t>打通学生技能成长通道，营造良好育人环境</w:t>
      </w:r>
      <w:r>
        <w:rPr>
          <w:rFonts w:hint="eastAsia" w:ascii="仿宋" w:hAnsi="仿宋" w:cs="宋体"/>
          <w:szCs w:val="32"/>
          <w:lang w:eastAsia="zh-CN"/>
        </w:rPr>
        <w:t>，</w:t>
      </w:r>
      <w:r>
        <w:rPr>
          <w:rFonts w:hint="eastAsia" w:ascii="仿宋" w:hAnsi="仿宋" w:cs="宋体"/>
          <w:szCs w:val="32"/>
        </w:rPr>
        <w:t>创建职教技能品牌培养大赛一流选手，弘扬“大国工匠精神”培育中国制造、中国创造的高技能人才，是学院未来以赛促教的发展方向，在新的起点上，学院更加重视技能人才培养工作，为国家培养更多的高技能人才，转化世赛成果学习借鉴世界技能发展的前沿技术和先进经验，为我国技能人才事业的发展再添新动力。按照“理念与世界同步，标准与行业接轨”的思想，在专业建设方面要与世界标准对接，在实际办学中引入世界职业技能领域发展的先进理念，根据世界技能大赛的技术标准、比赛规则、工作流程、组织方式等</w:t>
      </w:r>
      <w:r>
        <w:rPr>
          <w:rFonts w:hint="eastAsia" w:ascii="仿宋" w:hAnsi="仿宋" w:cs="宋体"/>
          <w:szCs w:val="32"/>
          <w:lang w:eastAsia="zh-CN"/>
        </w:rPr>
        <w:t>制定</w:t>
      </w:r>
      <w:r>
        <w:rPr>
          <w:rFonts w:hint="eastAsia" w:ascii="仿宋" w:hAnsi="仿宋" w:cs="宋体"/>
          <w:szCs w:val="32"/>
        </w:rPr>
        <w:t>人才培养计划和标准，为东北制造业的转型升级和新型人才培养做出新的更大贡献。</w:t>
      </w:r>
    </w:p>
    <w:p>
      <w:pPr>
        <w:ind w:firstLine="640" w:firstLineChars="200"/>
        <w:rPr>
          <w:rFonts w:ascii="黑体" w:hAnsi="黑体" w:eastAsia="黑体" w:cs="黑体"/>
          <w:szCs w:val="32"/>
          <w:highlight w:val="yellow"/>
        </w:rPr>
      </w:pPr>
      <w:r>
        <w:rPr>
          <w:rFonts w:hint="eastAsia" w:ascii="仿宋" w:hAnsi="仿宋" w:cs="宋体"/>
          <w:szCs w:val="32"/>
        </w:rPr>
        <w:t>学院积极发挥国家职业技能鉴定所和国家级技能大师工作室的社会辐射功能，面向企业和社会广泛开展各类职业技能培训及职业技能鉴定工作。开展“企业新型学徒制”培训、“丰田在华事业体”培训、“人才培养工程”培训、“大学生实习实训”培训、“技师、高级技师”培训、“职业技能师资”培训、“技能水平类”培训等多种培训项目</w:t>
      </w:r>
      <w:r>
        <w:rPr>
          <w:rFonts w:hint="eastAsia" w:ascii="仿宋" w:hAnsi="仿宋" w:cs="宋体"/>
          <w:szCs w:val="32"/>
          <w:lang w:eastAsia="zh-CN"/>
        </w:rPr>
        <w:t>。</w:t>
      </w:r>
      <w:r>
        <w:rPr>
          <w:rFonts w:hint="eastAsia" w:ascii="仿宋" w:hAnsi="仿宋" w:cs="宋体"/>
          <w:szCs w:val="32"/>
        </w:rPr>
        <w:t>合作企业包括：华晨汽车集团所属各企业、上汽通用(沈阳)北盛汽车有限公司、采埃孚轮伦福德汽车系统有限公司、沈阳造币有限公司、沈阳航天三菱汽车发动机制造有限公司、丰田汽车技术中心（中国）有限公司T</w:t>
      </w:r>
      <w:r>
        <w:rPr>
          <w:rFonts w:ascii="仿宋" w:hAnsi="仿宋" w:cs="宋体"/>
          <w:szCs w:val="32"/>
        </w:rPr>
        <w:t>TCC</w:t>
      </w:r>
      <w:r>
        <w:rPr>
          <w:rFonts w:hint="eastAsia" w:ascii="仿宋" w:hAnsi="仿宋" w:cs="宋体"/>
          <w:szCs w:val="32"/>
        </w:rPr>
        <w:t>、天津丰津汽车传动部件有限公司T</w:t>
      </w:r>
      <w:r>
        <w:rPr>
          <w:rFonts w:ascii="仿宋" w:hAnsi="仿宋" w:cs="宋体"/>
          <w:szCs w:val="32"/>
        </w:rPr>
        <w:t>FAP</w:t>
      </w:r>
      <w:r>
        <w:rPr>
          <w:rFonts w:hint="eastAsia" w:ascii="仿宋" w:hAnsi="仿宋" w:cs="宋体"/>
          <w:szCs w:val="32"/>
        </w:rPr>
        <w:t>、天津丰田汽车锻造部件有限公司TTFC、天津一汽丰田发动机有限公司TFTE、丰田一汽（天津）模具有限公司TFTD、丰田汽车（常熟）零部件有限公司</w:t>
      </w:r>
      <w:r>
        <w:rPr>
          <w:rFonts w:ascii="仿宋" w:hAnsi="仿宋" w:cs="宋体"/>
          <w:szCs w:val="32"/>
        </w:rPr>
        <w:t>TMCAP</w:t>
      </w:r>
      <w:r>
        <w:rPr>
          <w:rFonts w:hint="eastAsia" w:ascii="仿宋" w:hAnsi="仿宋" w:cs="宋体"/>
          <w:szCs w:val="32"/>
        </w:rPr>
        <w:t>、新中源丰田汽车能源系统有限公司STAES、科力美汽车动力电池有限公司CPAB、四川一汽丰田汽车有限公司SFTM等企业。年均培训人数650人，培训合格率达96%。学院积极组建“双师型”培训师资队伍，不断提高培训质量，提升培训服务满意度，在培训工作中弘扬精益求精的工匠精神，立足岗位不忘初心，继续前行。</w:t>
      </w:r>
    </w:p>
    <w:p>
      <w:pPr>
        <w:rPr>
          <w:rFonts w:ascii="黑体" w:hAnsi="黑体" w:eastAsia="黑体" w:cs="黑体"/>
          <w:szCs w:val="32"/>
        </w:rPr>
      </w:pPr>
      <w:r>
        <w:rPr>
          <w:rFonts w:hint="eastAsia" w:ascii="黑体" w:hAnsi="黑体" w:eastAsia="黑体" w:cs="黑体"/>
          <w:szCs w:val="32"/>
        </w:rPr>
        <w:t>6.举办者履责</w:t>
      </w:r>
    </w:p>
    <w:p>
      <w:pPr>
        <w:ind w:firstLine="640" w:firstLineChars="200"/>
        <w:rPr>
          <w:rFonts w:ascii="仿宋" w:hAnsi="仿宋" w:cs="仿宋"/>
          <w:szCs w:val="32"/>
        </w:rPr>
      </w:pPr>
      <w:r>
        <w:rPr>
          <w:rFonts w:hint="eastAsia" w:ascii="仿宋" w:hAnsi="仿宋" w:cs="仿宋"/>
          <w:szCs w:val="32"/>
        </w:rPr>
        <w:t>华晨汽车集团控股有限公司和上海申华控股股份有限公司对职业教育高度重视，将学院办学发展纳入集团公司整体发展规划，积极为学院搭建校企合作平台，</w:t>
      </w:r>
      <w:r>
        <w:rPr>
          <w:rFonts w:hint="eastAsia"/>
        </w:rPr>
        <w:t>选派企业工程技术人员担任兼职教师，</w:t>
      </w:r>
      <w:r>
        <w:rPr>
          <w:rFonts w:hint="eastAsia" w:ascii="仿宋" w:hAnsi="仿宋" w:cs="仿宋"/>
          <w:szCs w:val="32"/>
        </w:rPr>
        <w:t>帮助解决学院发展遇到的困难和问题。</w:t>
      </w:r>
    </w:p>
    <w:p>
      <w:pPr>
        <w:ind w:firstLine="640" w:firstLineChars="200"/>
        <w:rPr>
          <w:rFonts w:ascii="仿宋" w:hAnsi="仿宋" w:cs="仿宋"/>
          <w:szCs w:val="32"/>
        </w:rPr>
      </w:pPr>
      <w:r>
        <w:rPr>
          <w:rFonts w:hint="eastAsia" w:ascii="仿宋" w:hAnsi="仿宋" w:cs="仿宋"/>
          <w:szCs w:val="32"/>
        </w:rPr>
        <w:t>学院的主要办学经费来源于学宿费和社会服务收入。学院坚持开源节流，大力创收，并获得10</w:t>
      </w:r>
      <w:r>
        <w:rPr>
          <w:rFonts w:hint="eastAsia" w:ascii="仿宋" w:hAnsi="仿宋" w:cs="仿宋"/>
          <w:szCs w:val="32"/>
          <w:lang w:val="en-US" w:eastAsia="zh-CN"/>
        </w:rPr>
        <w:t>65</w:t>
      </w:r>
      <w:r>
        <w:rPr>
          <w:rFonts w:hint="eastAsia" w:ascii="仿宋" w:hAnsi="仿宋" w:cs="仿宋"/>
          <w:szCs w:val="32"/>
        </w:rPr>
        <w:t>万元政府专项资金的支持，办学经费得到充分保证。</w:t>
      </w:r>
    </w:p>
    <w:p>
      <w:pPr>
        <w:rPr>
          <w:rFonts w:ascii="黑体" w:hAnsi="黑体" w:eastAsia="黑体" w:cs="黑体"/>
          <w:szCs w:val="32"/>
          <w:highlight w:val="yellow"/>
        </w:rPr>
      </w:pPr>
      <w:r>
        <w:rPr>
          <w:rFonts w:hint="eastAsia" w:ascii="黑体" w:hAnsi="黑体" w:eastAsia="黑体" w:cs="黑体"/>
          <w:szCs w:val="32"/>
        </w:rPr>
        <w:t>7.特色创新</w:t>
      </w:r>
    </w:p>
    <w:p>
      <w:pPr>
        <w:ind w:firstLine="640" w:firstLineChars="200"/>
        <w:rPr>
          <w:rFonts w:ascii="仿宋" w:hAnsi="仿宋" w:cs="仿宋"/>
          <w:szCs w:val="32"/>
        </w:rPr>
      </w:pPr>
      <w:r>
        <w:rPr>
          <w:rFonts w:hint="eastAsia" w:ascii="仿宋" w:hAnsi="仿宋" w:cs="仿宋"/>
          <w:szCs w:val="32"/>
        </w:rPr>
        <w:t>学院在世赛中国集训基地建设中，坚持以世界技能大赛为引领，秉承建成社会美誉度高、服务功能强、示范能力强、培训水平高的省内一流高技能人才培训基地的原则，充分发挥高技能人才基地培训、服务作用，大力弘扬工匠精神，认真总结基地建设和选手培养方面所取得的经验，结合辽沈地区装备制造业紧缺高技能人才需求，重点建设模具制造专业为主的培训项目，主要通过提升专业师资在模具设计、模具制作、模具控制应用等方面的能力；开展竞赛交流、承办大赛等方面实施建设。以全面提升学院模具制造专业整体的培训能力。为辽沈地区培育世赛综合机械、原型制作项目大赛选手，争当辽宁冲击世赛的排头兵</w:t>
      </w:r>
      <w:r>
        <w:rPr>
          <w:rFonts w:hint="eastAsia" w:ascii="仿宋" w:hAnsi="仿宋" w:cs="仿宋"/>
          <w:szCs w:val="32"/>
          <w:lang w:eastAsia="zh-CN"/>
        </w:rPr>
        <w:t>，</w:t>
      </w:r>
      <w:r>
        <w:rPr>
          <w:rFonts w:hint="eastAsia" w:ascii="仿宋" w:hAnsi="仿宋" w:cs="仿宋"/>
          <w:szCs w:val="32"/>
        </w:rPr>
        <w:t>为辽宁老工业基地增光。</w:t>
      </w:r>
    </w:p>
    <w:p>
      <w:pPr>
        <w:ind w:firstLine="640" w:firstLineChars="200"/>
        <w:rPr>
          <w:rFonts w:ascii="仿宋" w:hAnsi="仿宋" w:cs="仿宋"/>
          <w:szCs w:val="32"/>
        </w:rPr>
      </w:pPr>
      <w:r>
        <w:rPr>
          <w:rFonts w:hint="eastAsia" w:ascii="仿宋" w:hAnsi="仿宋" w:cs="仿宋"/>
          <w:szCs w:val="32"/>
        </w:rPr>
        <w:t>在大赛选手培养及训练体系建设上，通过与日本丰田汽车公司近30年的国际化合作，借鉴丰田公司高技能人才培养模式，遵循技能人才培养的基本规律，以世界技能大赛为引领，通过竞赛交流、技能人才培养研讨、充分发挥学院与丰田公司国际化办学的优势，通过师生赴日研修、技能交流、大赛选手培养研讨、经验交流、参加各类技能大赛等活动，进一步总结、提炼，建立了完备的大赛选手培训体系及课程体系，形成了自己鲜明的特色。我院原型制作项目选手满金龙、综合机械与自动化项目选手张浩代表辽宁省参加了世赛中国选拔赛，并双双进入国家集训队，为辽宁省争得了荣誉。</w:t>
      </w:r>
    </w:p>
    <w:p>
      <w:pPr>
        <w:ind w:firstLine="640" w:firstLineChars="200"/>
        <w:rPr>
          <w:rFonts w:ascii="仿宋" w:hAnsi="仿宋" w:cs="仿宋"/>
          <w:szCs w:val="32"/>
        </w:rPr>
      </w:pPr>
      <w:r>
        <w:rPr>
          <w:rFonts w:hint="eastAsia" w:ascii="仿宋" w:hAnsi="仿宋" w:cs="仿宋"/>
          <w:szCs w:val="32"/>
        </w:rPr>
        <w:t>为进一步拓宽世赛基地功能，学院</w:t>
      </w:r>
      <w:r>
        <w:rPr>
          <w:rFonts w:hint="eastAsia" w:ascii="仿宋" w:hAnsi="仿宋" w:cs="仿宋"/>
          <w:szCs w:val="32"/>
          <w:lang w:eastAsia="zh-CN"/>
        </w:rPr>
        <w:t>将</w:t>
      </w:r>
      <w:r>
        <w:rPr>
          <w:rFonts w:hint="eastAsia" w:ascii="仿宋" w:hAnsi="仿宋" w:cs="仿宋"/>
          <w:szCs w:val="32"/>
        </w:rPr>
        <w:t>根据区域经济发展、产业振兴发展规划和新兴战略性产业发展需要，制定高技能人才培养规划，开发紧缺型高技能人才培养计划、教材等资料。充分发挥高技能人才的示范带动作用，通过"传、帮、带"，提高高技能人才的技能水平、创新能力和职业素质。</w:t>
      </w:r>
    </w:p>
    <w:p>
      <w:pPr>
        <w:rPr>
          <w:rFonts w:ascii="黑体" w:hAnsi="黑体" w:eastAsia="黑体" w:cs="黑体"/>
          <w:szCs w:val="32"/>
        </w:rPr>
      </w:pPr>
      <w:r>
        <w:rPr>
          <w:rFonts w:hint="eastAsia" w:ascii="黑体" w:hAnsi="黑体" w:eastAsia="黑体" w:cs="黑体"/>
          <w:szCs w:val="32"/>
        </w:rPr>
        <w:t>8.主要问题和改进措施</w:t>
      </w:r>
    </w:p>
    <w:p>
      <w:pPr>
        <w:rPr>
          <w:rFonts w:ascii="仿宋" w:hAnsi="仿宋" w:cs="仿宋"/>
          <w:b/>
          <w:szCs w:val="32"/>
          <w:highlight w:val="yellow"/>
        </w:rPr>
      </w:pPr>
      <w:r>
        <w:rPr>
          <w:rFonts w:hint="eastAsia" w:ascii="仿宋" w:hAnsi="仿宋" w:cs="仿宋"/>
          <w:b/>
          <w:szCs w:val="32"/>
        </w:rPr>
        <w:t>8.1 调整专业布局，应对生源萎缩</w:t>
      </w:r>
    </w:p>
    <w:p>
      <w:pPr>
        <w:ind w:firstLine="640" w:firstLineChars="200"/>
        <w:rPr>
          <w:rFonts w:ascii="仿宋" w:hAnsi="仿宋" w:cs="仿宋"/>
          <w:szCs w:val="32"/>
        </w:rPr>
      </w:pPr>
      <w:r>
        <w:rPr>
          <w:rFonts w:hint="eastAsia" w:ascii="仿宋" w:hAnsi="仿宋" w:cs="仿宋"/>
          <w:szCs w:val="32"/>
        </w:rPr>
        <w:t>根据辽沈地区产业结构调整，调整专业布局，缩小传统专业的规模，逐步开发高端装备、智能制造、现代服务产业的新专业。201</w:t>
      </w:r>
      <w:r>
        <w:rPr>
          <w:rFonts w:hint="eastAsia" w:ascii="仿宋" w:hAnsi="仿宋" w:cs="仿宋"/>
          <w:szCs w:val="32"/>
          <w:lang w:val="en-US" w:eastAsia="zh-CN"/>
        </w:rPr>
        <w:t>8</w:t>
      </w:r>
      <w:r>
        <w:rPr>
          <w:rFonts w:hint="eastAsia" w:ascii="仿宋" w:hAnsi="仿宋" w:cs="仿宋"/>
          <w:szCs w:val="32"/>
        </w:rPr>
        <w:t>年</w:t>
      </w:r>
      <w:r>
        <w:rPr>
          <w:rFonts w:hint="eastAsia" w:ascii="仿宋" w:hAnsi="仿宋" w:cs="仿宋"/>
          <w:szCs w:val="32"/>
          <w:lang w:eastAsia="zh-CN"/>
        </w:rPr>
        <w:t>成功申办</w:t>
      </w:r>
      <w:r>
        <w:rPr>
          <w:rFonts w:hint="eastAsia" w:ascii="仿宋" w:hAnsi="仿宋" w:cs="仿宋"/>
          <w:szCs w:val="32"/>
        </w:rPr>
        <w:t>“</w:t>
      </w:r>
      <w:r>
        <w:rPr>
          <w:rFonts w:ascii="仿宋" w:hAnsi="仿宋" w:cs="仿宋"/>
          <w:szCs w:val="32"/>
        </w:rPr>
        <w:t>新能源汽车制造与装配</w:t>
      </w:r>
      <w:r>
        <w:rPr>
          <w:rFonts w:hint="eastAsia" w:ascii="仿宋" w:hAnsi="仿宋" w:cs="仿宋"/>
          <w:szCs w:val="32"/>
        </w:rPr>
        <w:t>”和“数控机床装配与维修”两个新专业。同时，积极开拓培训市场，与华晨销售公司签订了汽车后市场从业员工培训协议。</w:t>
      </w:r>
    </w:p>
    <w:p>
      <w:pPr>
        <w:rPr>
          <w:rFonts w:ascii="仿宋" w:hAnsi="仿宋" w:cs="仿宋"/>
          <w:b/>
          <w:szCs w:val="32"/>
        </w:rPr>
      </w:pPr>
      <w:r>
        <w:rPr>
          <w:rFonts w:hint="eastAsia" w:ascii="仿宋" w:hAnsi="仿宋" w:cs="仿宋"/>
          <w:b/>
          <w:szCs w:val="32"/>
        </w:rPr>
        <w:t>8.2 拓宽就业渠道，稳定和提高就业质量</w:t>
      </w:r>
    </w:p>
    <w:p>
      <w:pPr>
        <w:ind w:firstLine="640" w:firstLineChars="200"/>
        <w:rPr>
          <w:rFonts w:ascii="仿宋" w:hAnsi="仿宋" w:cs="仿宋"/>
          <w:szCs w:val="32"/>
          <w:highlight w:val="yellow"/>
        </w:rPr>
      </w:pPr>
      <w:r>
        <w:rPr>
          <w:rFonts w:hint="eastAsia" w:ascii="仿宋" w:hAnsi="仿宋" w:cs="仿宋"/>
          <w:szCs w:val="32"/>
        </w:rPr>
        <w:t>受经济大环境和汽车行业增长放缓的影响，2018年毕业生就业形式严峻。学院多方努力开拓就业渠道，多渠道稳就业，多措施促就业。积极开展企业新型“学徒制”培养，开办各种“订单班”、“定向班”，保持和提升了毕业生就业质量。</w:t>
      </w:r>
    </w:p>
    <w:sectPr>
      <w:footerReference r:id="rId3" w:type="default"/>
      <w:pgSz w:w="11906" w:h="16838"/>
      <w:pgMar w:top="2098" w:right="1474" w:bottom="1984" w:left="1587" w:header="851" w:footer="992" w:gutter="0"/>
      <w:pgNumType w:start="1"/>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0F106"/>
    <w:multiLevelType w:val="singleLevel"/>
    <w:tmpl w:val="5830F10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320"/>
  <w:drawingGridVerticalSpacing w:val="220"/>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08108E"/>
    <w:rsid w:val="00001371"/>
    <w:rsid w:val="00001B39"/>
    <w:rsid w:val="000022E5"/>
    <w:rsid w:val="00005EE6"/>
    <w:rsid w:val="00006275"/>
    <w:rsid w:val="000064DF"/>
    <w:rsid w:val="0000747D"/>
    <w:rsid w:val="000112C8"/>
    <w:rsid w:val="000127DE"/>
    <w:rsid w:val="0001360F"/>
    <w:rsid w:val="00013703"/>
    <w:rsid w:val="00016FAE"/>
    <w:rsid w:val="00021EC6"/>
    <w:rsid w:val="00023422"/>
    <w:rsid w:val="000241D5"/>
    <w:rsid w:val="00027404"/>
    <w:rsid w:val="00030F43"/>
    <w:rsid w:val="000310B7"/>
    <w:rsid w:val="0003345F"/>
    <w:rsid w:val="00033A06"/>
    <w:rsid w:val="000348C4"/>
    <w:rsid w:val="000357F9"/>
    <w:rsid w:val="000376B5"/>
    <w:rsid w:val="00042C50"/>
    <w:rsid w:val="00047E69"/>
    <w:rsid w:val="00053B52"/>
    <w:rsid w:val="00055340"/>
    <w:rsid w:val="00060F8E"/>
    <w:rsid w:val="0006211A"/>
    <w:rsid w:val="00062FC5"/>
    <w:rsid w:val="000644A6"/>
    <w:rsid w:val="00064F70"/>
    <w:rsid w:val="00065494"/>
    <w:rsid w:val="000677B0"/>
    <w:rsid w:val="00070ED9"/>
    <w:rsid w:val="00072C6F"/>
    <w:rsid w:val="00075E26"/>
    <w:rsid w:val="000760AC"/>
    <w:rsid w:val="0007708D"/>
    <w:rsid w:val="00077142"/>
    <w:rsid w:val="0008108E"/>
    <w:rsid w:val="00081C28"/>
    <w:rsid w:val="00084872"/>
    <w:rsid w:val="000849A1"/>
    <w:rsid w:val="00084C82"/>
    <w:rsid w:val="00085698"/>
    <w:rsid w:val="00085D23"/>
    <w:rsid w:val="000921BF"/>
    <w:rsid w:val="000939BE"/>
    <w:rsid w:val="000A0A66"/>
    <w:rsid w:val="000A13C1"/>
    <w:rsid w:val="000A1E9C"/>
    <w:rsid w:val="000A467E"/>
    <w:rsid w:val="000A5B9D"/>
    <w:rsid w:val="000A5EC1"/>
    <w:rsid w:val="000B165B"/>
    <w:rsid w:val="000B241E"/>
    <w:rsid w:val="000B564B"/>
    <w:rsid w:val="000B5CE2"/>
    <w:rsid w:val="000B69EF"/>
    <w:rsid w:val="000B75D3"/>
    <w:rsid w:val="000B771C"/>
    <w:rsid w:val="000C116F"/>
    <w:rsid w:val="000C21D2"/>
    <w:rsid w:val="000C2C88"/>
    <w:rsid w:val="000C30A5"/>
    <w:rsid w:val="000C5023"/>
    <w:rsid w:val="000C7583"/>
    <w:rsid w:val="000D0AB9"/>
    <w:rsid w:val="000D16DA"/>
    <w:rsid w:val="000D1A47"/>
    <w:rsid w:val="000D3907"/>
    <w:rsid w:val="000D3CAD"/>
    <w:rsid w:val="000D3E34"/>
    <w:rsid w:val="000D3F39"/>
    <w:rsid w:val="000D423E"/>
    <w:rsid w:val="000D5D4B"/>
    <w:rsid w:val="000D6973"/>
    <w:rsid w:val="000D69B7"/>
    <w:rsid w:val="000D7F95"/>
    <w:rsid w:val="000E11B4"/>
    <w:rsid w:val="000E140E"/>
    <w:rsid w:val="000E1C12"/>
    <w:rsid w:val="000E26CA"/>
    <w:rsid w:val="000E3BFE"/>
    <w:rsid w:val="000E53D5"/>
    <w:rsid w:val="000E647B"/>
    <w:rsid w:val="000E794D"/>
    <w:rsid w:val="000F1D8D"/>
    <w:rsid w:val="000F56C6"/>
    <w:rsid w:val="000F5706"/>
    <w:rsid w:val="000F63BC"/>
    <w:rsid w:val="001001EE"/>
    <w:rsid w:val="00100E46"/>
    <w:rsid w:val="00101AAC"/>
    <w:rsid w:val="00101D34"/>
    <w:rsid w:val="001022B1"/>
    <w:rsid w:val="001060EF"/>
    <w:rsid w:val="00106E10"/>
    <w:rsid w:val="0010728F"/>
    <w:rsid w:val="00107D75"/>
    <w:rsid w:val="00111FD4"/>
    <w:rsid w:val="0011282F"/>
    <w:rsid w:val="00112B2A"/>
    <w:rsid w:val="0011491C"/>
    <w:rsid w:val="00115344"/>
    <w:rsid w:val="00117C96"/>
    <w:rsid w:val="00120F00"/>
    <w:rsid w:val="0012234A"/>
    <w:rsid w:val="00122B1F"/>
    <w:rsid w:val="00124F48"/>
    <w:rsid w:val="001252E5"/>
    <w:rsid w:val="00125616"/>
    <w:rsid w:val="00125E70"/>
    <w:rsid w:val="001273FE"/>
    <w:rsid w:val="00130C92"/>
    <w:rsid w:val="00132AD3"/>
    <w:rsid w:val="00132CDD"/>
    <w:rsid w:val="0013484C"/>
    <w:rsid w:val="0013549B"/>
    <w:rsid w:val="00135620"/>
    <w:rsid w:val="00136050"/>
    <w:rsid w:val="00141B74"/>
    <w:rsid w:val="00141D51"/>
    <w:rsid w:val="00142053"/>
    <w:rsid w:val="001469D5"/>
    <w:rsid w:val="00147B8C"/>
    <w:rsid w:val="00150093"/>
    <w:rsid w:val="00152265"/>
    <w:rsid w:val="0015540E"/>
    <w:rsid w:val="001564EC"/>
    <w:rsid w:val="00163D74"/>
    <w:rsid w:val="00164974"/>
    <w:rsid w:val="0016522C"/>
    <w:rsid w:val="00165DC4"/>
    <w:rsid w:val="00170451"/>
    <w:rsid w:val="00174E3F"/>
    <w:rsid w:val="00174EE8"/>
    <w:rsid w:val="0017515F"/>
    <w:rsid w:val="00175B24"/>
    <w:rsid w:val="001765DB"/>
    <w:rsid w:val="00177946"/>
    <w:rsid w:val="00183127"/>
    <w:rsid w:val="001865E7"/>
    <w:rsid w:val="0019274F"/>
    <w:rsid w:val="00194A31"/>
    <w:rsid w:val="001A299D"/>
    <w:rsid w:val="001A541E"/>
    <w:rsid w:val="001A5796"/>
    <w:rsid w:val="001A5D46"/>
    <w:rsid w:val="001A618C"/>
    <w:rsid w:val="001A7FB3"/>
    <w:rsid w:val="001B58ED"/>
    <w:rsid w:val="001C05EE"/>
    <w:rsid w:val="001C11C2"/>
    <w:rsid w:val="001C16B2"/>
    <w:rsid w:val="001C2EA6"/>
    <w:rsid w:val="001C47FA"/>
    <w:rsid w:val="001C4A08"/>
    <w:rsid w:val="001C4C89"/>
    <w:rsid w:val="001C5605"/>
    <w:rsid w:val="001C751F"/>
    <w:rsid w:val="001C7D14"/>
    <w:rsid w:val="001D0A3A"/>
    <w:rsid w:val="001D16F7"/>
    <w:rsid w:val="001D2C58"/>
    <w:rsid w:val="001D51B8"/>
    <w:rsid w:val="001E10C5"/>
    <w:rsid w:val="001E1BE1"/>
    <w:rsid w:val="001E4EC0"/>
    <w:rsid w:val="001E5584"/>
    <w:rsid w:val="001E6BD9"/>
    <w:rsid w:val="001E77AE"/>
    <w:rsid w:val="001F0793"/>
    <w:rsid w:val="001F0FB6"/>
    <w:rsid w:val="001F392D"/>
    <w:rsid w:val="001F4ACD"/>
    <w:rsid w:val="001F4D3A"/>
    <w:rsid w:val="0020055B"/>
    <w:rsid w:val="00200B50"/>
    <w:rsid w:val="00201C55"/>
    <w:rsid w:val="00202925"/>
    <w:rsid w:val="002029DC"/>
    <w:rsid w:val="00203767"/>
    <w:rsid w:val="00204DA9"/>
    <w:rsid w:val="002068D1"/>
    <w:rsid w:val="00206A94"/>
    <w:rsid w:val="00206F5F"/>
    <w:rsid w:val="002071C1"/>
    <w:rsid w:val="00207E9A"/>
    <w:rsid w:val="002172F0"/>
    <w:rsid w:val="00220136"/>
    <w:rsid w:val="00221289"/>
    <w:rsid w:val="002216F1"/>
    <w:rsid w:val="00221CC5"/>
    <w:rsid w:val="002222EA"/>
    <w:rsid w:val="002247C6"/>
    <w:rsid w:val="00224E33"/>
    <w:rsid w:val="00226FFF"/>
    <w:rsid w:val="00231053"/>
    <w:rsid w:val="002322ED"/>
    <w:rsid w:val="00232AE6"/>
    <w:rsid w:val="00236A74"/>
    <w:rsid w:val="00236CE4"/>
    <w:rsid w:val="0024005F"/>
    <w:rsid w:val="00241F67"/>
    <w:rsid w:val="00243855"/>
    <w:rsid w:val="00244422"/>
    <w:rsid w:val="00250E35"/>
    <w:rsid w:val="00251687"/>
    <w:rsid w:val="00251E78"/>
    <w:rsid w:val="002574AE"/>
    <w:rsid w:val="0025791D"/>
    <w:rsid w:val="00261371"/>
    <w:rsid w:val="00262AF0"/>
    <w:rsid w:val="00262CC5"/>
    <w:rsid w:val="00263734"/>
    <w:rsid w:val="00266A4B"/>
    <w:rsid w:val="002671C6"/>
    <w:rsid w:val="00270500"/>
    <w:rsid w:val="00270786"/>
    <w:rsid w:val="00271F19"/>
    <w:rsid w:val="0027225E"/>
    <w:rsid w:val="00272C54"/>
    <w:rsid w:val="0027453E"/>
    <w:rsid w:val="002772DC"/>
    <w:rsid w:val="0027761B"/>
    <w:rsid w:val="002817DC"/>
    <w:rsid w:val="00281C46"/>
    <w:rsid w:val="00281D68"/>
    <w:rsid w:val="00282585"/>
    <w:rsid w:val="00282781"/>
    <w:rsid w:val="002867D8"/>
    <w:rsid w:val="00286C10"/>
    <w:rsid w:val="00287C8D"/>
    <w:rsid w:val="00290241"/>
    <w:rsid w:val="00292FD7"/>
    <w:rsid w:val="00295C70"/>
    <w:rsid w:val="002968B0"/>
    <w:rsid w:val="002A0BA7"/>
    <w:rsid w:val="002A0EEE"/>
    <w:rsid w:val="002A16EC"/>
    <w:rsid w:val="002A2AC2"/>
    <w:rsid w:val="002A4B3D"/>
    <w:rsid w:val="002A4EA1"/>
    <w:rsid w:val="002A6472"/>
    <w:rsid w:val="002B18B8"/>
    <w:rsid w:val="002B2268"/>
    <w:rsid w:val="002B315D"/>
    <w:rsid w:val="002B5622"/>
    <w:rsid w:val="002B5C73"/>
    <w:rsid w:val="002B6D98"/>
    <w:rsid w:val="002B7B5D"/>
    <w:rsid w:val="002C00B8"/>
    <w:rsid w:val="002C2702"/>
    <w:rsid w:val="002C4753"/>
    <w:rsid w:val="002C62B5"/>
    <w:rsid w:val="002D0460"/>
    <w:rsid w:val="002D19BB"/>
    <w:rsid w:val="002D52F3"/>
    <w:rsid w:val="002D6258"/>
    <w:rsid w:val="002D76A0"/>
    <w:rsid w:val="002E00E9"/>
    <w:rsid w:val="002E06DB"/>
    <w:rsid w:val="002E0B35"/>
    <w:rsid w:val="002E0D79"/>
    <w:rsid w:val="002E4318"/>
    <w:rsid w:val="002E46A1"/>
    <w:rsid w:val="002E5A00"/>
    <w:rsid w:val="002E6797"/>
    <w:rsid w:val="002F16B6"/>
    <w:rsid w:val="002F240E"/>
    <w:rsid w:val="002F3324"/>
    <w:rsid w:val="002F61AF"/>
    <w:rsid w:val="0030116E"/>
    <w:rsid w:val="003011CB"/>
    <w:rsid w:val="0030174A"/>
    <w:rsid w:val="003018C4"/>
    <w:rsid w:val="003023CA"/>
    <w:rsid w:val="00305B9A"/>
    <w:rsid w:val="003066E1"/>
    <w:rsid w:val="00310921"/>
    <w:rsid w:val="003123B1"/>
    <w:rsid w:val="003124A8"/>
    <w:rsid w:val="00316534"/>
    <w:rsid w:val="00317E5D"/>
    <w:rsid w:val="00321FC1"/>
    <w:rsid w:val="003259DC"/>
    <w:rsid w:val="00325A9A"/>
    <w:rsid w:val="00326397"/>
    <w:rsid w:val="003306CC"/>
    <w:rsid w:val="00331C1B"/>
    <w:rsid w:val="003339DF"/>
    <w:rsid w:val="00334AF6"/>
    <w:rsid w:val="00335D6A"/>
    <w:rsid w:val="00337FB9"/>
    <w:rsid w:val="003406F0"/>
    <w:rsid w:val="0034085C"/>
    <w:rsid w:val="00344838"/>
    <w:rsid w:val="00344F74"/>
    <w:rsid w:val="00350035"/>
    <w:rsid w:val="00353386"/>
    <w:rsid w:val="0035584F"/>
    <w:rsid w:val="003572A2"/>
    <w:rsid w:val="00357FFB"/>
    <w:rsid w:val="00361D6F"/>
    <w:rsid w:val="00362827"/>
    <w:rsid w:val="00364410"/>
    <w:rsid w:val="00364E45"/>
    <w:rsid w:val="00364E4B"/>
    <w:rsid w:val="00366A6A"/>
    <w:rsid w:val="003709B6"/>
    <w:rsid w:val="00370B24"/>
    <w:rsid w:val="00372313"/>
    <w:rsid w:val="00372577"/>
    <w:rsid w:val="003732E3"/>
    <w:rsid w:val="003764A5"/>
    <w:rsid w:val="0037678C"/>
    <w:rsid w:val="003768FB"/>
    <w:rsid w:val="00377FC7"/>
    <w:rsid w:val="003806F6"/>
    <w:rsid w:val="00381B0E"/>
    <w:rsid w:val="0038267C"/>
    <w:rsid w:val="0038423D"/>
    <w:rsid w:val="00391393"/>
    <w:rsid w:val="00391988"/>
    <w:rsid w:val="00394BFB"/>
    <w:rsid w:val="00395644"/>
    <w:rsid w:val="003963CC"/>
    <w:rsid w:val="003A33F8"/>
    <w:rsid w:val="003A6A1E"/>
    <w:rsid w:val="003A75D0"/>
    <w:rsid w:val="003A7FC1"/>
    <w:rsid w:val="003B1517"/>
    <w:rsid w:val="003B17D2"/>
    <w:rsid w:val="003B2BBF"/>
    <w:rsid w:val="003B35DE"/>
    <w:rsid w:val="003B58BB"/>
    <w:rsid w:val="003B5BCB"/>
    <w:rsid w:val="003B60D9"/>
    <w:rsid w:val="003C0286"/>
    <w:rsid w:val="003C0F7C"/>
    <w:rsid w:val="003C1FE5"/>
    <w:rsid w:val="003C2ADD"/>
    <w:rsid w:val="003C2F5D"/>
    <w:rsid w:val="003C35A0"/>
    <w:rsid w:val="003C41DF"/>
    <w:rsid w:val="003C42EE"/>
    <w:rsid w:val="003D1784"/>
    <w:rsid w:val="003D3F6F"/>
    <w:rsid w:val="003E0F5C"/>
    <w:rsid w:val="003E3C4B"/>
    <w:rsid w:val="003E40AE"/>
    <w:rsid w:val="003E5FBD"/>
    <w:rsid w:val="003E713B"/>
    <w:rsid w:val="003F028A"/>
    <w:rsid w:val="003F1B1C"/>
    <w:rsid w:val="003F2876"/>
    <w:rsid w:val="003F5E96"/>
    <w:rsid w:val="003F6C2D"/>
    <w:rsid w:val="003F7D54"/>
    <w:rsid w:val="00400362"/>
    <w:rsid w:val="00401772"/>
    <w:rsid w:val="00402AC8"/>
    <w:rsid w:val="00403EEC"/>
    <w:rsid w:val="00404B9F"/>
    <w:rsid w:val="004055C7"/>
    <w:rsid w:val="0040658C"/>
    <w:rsid w:val="00406695"/>
    <w:rsid w:val="00410B1C"/>
    <w:rsid w:val="00410D78"/>
    <w:rsid w:val="00411623"/>
    <w:rsid w:val="004128A6"/>
    <w:rsid w:val="004140AE"/>
    <w:rsid w:val="00414A57"/>
    <w:rsid w:val="00415605"/>
    <w:rsid w:val="004158CA"/>
    <w:rsid w:val="00415907"/>
    <w:rsid w:val="00415A37"/>
    <w:rsid w:val="004223D5"/>
    <w:rsid w:val="004229CE"/>
    <w:rsid w:val="00424522"/>
    <w:rsid w:val="00424E97"/>
    <w:rsid w:val="00427D90"/>
    <w:rsid w:val="00431065"/>
    <w:rsid w:val="004316F4"/>
    <w:rsid w:val="00434573"/>
    <w:rsid w:val="00435FCC"/>
    <w:rsid w:val="00437916"/>
    <w:rsid w:val="00441AE5"/>
    <w:rsid w:val="00446C76"/>
    <w:rsid w:val="00447606"/>
    <w:rsid w:val="00451510"/>
    <w:rsid w:val="004524F9"/>
    <w:rsid w:val="004533BF"/>
    <w:rsid w:val="00455102"/>
    <w:rsid w:val="004562DE"/>
    <w:rsid w:val="0045702C"/>
    <w:rsid w:val="004577D6"/>
    <w:rsid w:val="00461715"/>
    <w:rsid w:val="0046353E"/>
    <w:rsid w:val="00463841"/>
    <w:rsid w:val="004661DB"/>
    <w:rsid w:val="00467536"/>
    <w:rsid w:val="00467AA0"/>
    <w:rsid w:val="00470D3C"/>
    <w:rsid w:val="004711E9"/>
    <w:rsid w:val="0047272F"/>
    <w:rsid w:val="00474999"/>
    <w:rsid w:val="004749A2"/>
    <w:rsid w:val="00476B29"/>
    <w:rsid w:val="00477954"/>
    <w:rsid w:val="00480C60"/>
    <w:rsid w:val="00482778"/>
    <w:rsid w:val="00482928"/>
    <w:rsid w:val="00485F77"/>
    <w:rsid w:val="0048759B"/>
    <w:rsid w:val="0049063C"/>
    <w:rsid w:val="00490EDE"/>
    <w:rsid w:val="004952F6"/>
    <w:rsid w:val="004A066F"/>
    <w:rsid w:val="004A22BE"/>
    <w:rsid w:val="004A5022"/>
    <w:rsid w:val="004A5CBE"/>
    <w:rsid w:val="004A601C"/>
    <w:rsid w:val="004A61A5"/>
    <w:rsid w:val="004A672A"/>
    <w:rsid w:val="004A69F5"/>
    <w:rsid w:val="004A7C10"/>
    <w:rsid w:val="004B30EE"/>
    <w:rsid w:val="004B57BA"/>
    <w:rsid w:val="004B5917"/>
    <w:rsid w:val="004B675A"/>
    <w:rsid w:val="004B7193"/>
    <w:rsid w:val="004C077A"/>
    <w:rsid w:val="004C0D1A"/>
    <w:rsid w:val="004C2127"/>
    <w:rsid w:val="004C25B8"/>
    <w:rsid w:val="004C2AB1"/>
    <w:rsid w:val="004C3A11"/>
    <w:rsid w:val="004C50AA"/>
    <w:rsid w:val="004C63A4"/>
    <w:rsid w:val="004C7065"/>
    <w:rsid w:val="004C7284"/>
    <w:rsid w:val="004D022D"/>
    <w:rsid w:val="004D10A5"/>
    <w:rsid w:val="004D1A07"/>
    <w:rsid w:val="004D361A"/>
    <w:rsid w:val="004D37C8"/>
    <w:rsid w:val="004D3E1B"/>
    <w:rsid w:val="004D59BE"/>
    <w:rsid w:val="004D6B91"/>
    <w:rsid w:val="004D791E"/>
    <w:rsid w:val="004E015F"/>
    <w:rsid w:val="004E07FF"/>
    <w:rsid w:val="004E1884"/>
    <w:rsid w:val="004E3B37"/>
    <w:rsid w:val="004E4389"/>
    <w:rsid w:val="004E78BC"/>
    <w:rsid w:val="004F0CF5"/>
    <w:rsid w:val="004F10B5"/>
    <w:rsid w:val="004F235A"/>
    <w:rsid w:val="004F548D"/>
    <w:rsid w:val="004F5B3B"/>
    <w:rsid w:val="004F6072"/>
    <w:rsid w:val="004F7C6B"/>
    <w:rsid w:val="004F7F96"/>
    <w:rsid w:val="00505B72"/>
    <w:rsid w:val="00506DC6"/>
    <w:rsid w:val="00507E02"/>
    <w:rsid w:val="00511447"/>
    <w:rsid w:val="0051163D"/>
    <w:rsid w:val="00512D99"/>
    <w:rsid w:val="00512E89"/>
    <w:rsid w:val="00513B89"/>
    <w:rsid w:val="0051475C"/>
    <w:rsid w:val="00515949"/>
    <w:rsid w:val="00521213"/>
    <w:rsid w:val="005240B3"/>
    <w:rsid w:val="0052569F"/>
    <w:rsid w:val="00526CBF"/>
    <w:rsid w:val="00526F85"/>
    <w:rsid w:val="0053033D"/>
    <w:rsid w:val="00530BAF"/>
    <w:rsid w:val="00531AB7"/>
    <w:rsid w:val="00531E1C"/>
    <w:rsid w:val="00532850"/>
    <w:rsid w:val="00536BE7"/>
    <w:rsid w:val="00537790"/>
    <w:rsid w:val="00542A38"/>
    <w:rsid w:val="00544138"/>
    <w:rsid w:val="0054432C"/>
    <w:rsid w:val="00545314"/>
    <w:rsid w:val="00545B43"/>
    <w:rsid w:val="005464ED"/>
    <w:rsid w:val="005477D2"/>
    <w:rsid w:val="005478D5"/>
    <w:rsid w:val="00547ECA"/>
    <w:rsid w:val="00553455"/>
    <w:rsid w:val="00553BB9"/>
    <w:rsid w:val="00553FE8"/>
    <w:rsid w:val="005547DB"/>
    <w:rsid w:val="005568AB"/>
    <w:rsid w:val="005568FE"/>
    <w:rsid w:val="00564394"/>
    <w:rsid w:val="00566274"/>
    <w:rsid w:val="0057173C"/>
    <w:rsid w:val="00571EDD"/>
    <w:rsid w:val="00572D46"/>
    <w:rsid w:val="00573EB7"/>
    <w:rsid w:val="005751C5"/>
    <w:rsid w:val="005768E3"/>
    <w:rsid w:val="00577AFC"/>
    <w:rsid w:val="00580847"/>
    <w:rsid w:val="00581AC8"/>
    <w:rsid w:val="00581D81"/>
    <w:rsid w:val="0058388F"/>
    <w:rsid w:val="005842BF"/>
    <w:rsid w:val="0058467A"/>
    <w:rsid w:val="005878D6"/>
    <w:rsid w:val="00593257"/>
    <w:rsid w:val="005944F7"/>
    <w:rsid w:val="00596F77"/>
    <w:rsid w:val="005978C4"/>
    <w:rsid w:val="0059798B"/>
    <w:rsid w:val="005A019E"/>
    <w:rsid w:val="005A082E"/>
    <w:rsid w:val="005A25CD"/>
    <w:rsid w:val="005A2E9F"/>
    <w:rsid w:val="005A550D"/>
    <w:rsid w:val="005A567F"/>
    <w:rsid w:val="005A5C10"/>
    <w:rsid w:val="005A62C6"/>
    <w:rsid w:val="005A656D"/>
    <w:rsid w:val="005B115B"/>
    <w:rsid w:val="005B1379"/>
    <w:rsid w:val="005B1596"/>
    <w:rsid w:val="005B25C5"/>
    <w:rsid w:val="005B31FC"/>
    <w:rsid w:val="005B3EA9"/>
    <w:rsid w:val="005B4A1D"/>
    <w:rsid w:val="005B5CA0"/>
    <w:rsid w:val="005B6D35"/>
    <w:rsid w:val="005B7F3A"/>
    <w:rsid w:val="005D02D5"/>
    <w:rsid w:val="005D07C2"/>
    <w:rsid w:val="005D29C3"/>
    <w:rsid w:val="005D3752"/>
    <w:rsid w:val="005D402C"/>
    <w:rsid w:val="005D4E58"/>
    <w:rsid w:val="005D6B8F"/>
    <w:rsid w:val="005D7A09"/>
    <w:rsid w:val="005E002B"/>
    <w:rsid w:val="005E023B"/>
    <w:rsid w:val="005E30A9"/>
    <w:rsid w:val="005E37F2"/>
    <w:rsid w:val="005E47BA"/>
    <w:rsid w:val="005E6451"/>
    <w:rsid w:val="005E7247"/>
    <w:rsid w:val="005E745D"/>
    <w:rsid w:val="005F2B8B"/>
    <w:rsid w:val="005F3946"/>
    <w:rsid w:val="005F3D6F"/>
    <w:rsid w:val="005F68E6"/>
    <w:rsid w:val="005F6919"/>
    <w:rsid w:val="005F740E"/>
    <w:rsid w:val="00600B70"/>
    <w:rsid w:val="00600CA3"/>
    <w:rsid w:val="00601313"/>
    <w:rsid w:val="00601DB1"/>
    <w:rsid w:val="00603FBE"/>
    <w:rsid w:val="00604CC5"/>
    <w:rsid w:val="0060560B"/>
    <w:rsid w:val="006064EE"/>
    <w:rsid w:val="006104F6"/>
    <w:rsid w:val="006105DB"/>
    <w:rsid w:val="00613AA4"/>
    <w:rsid w:val="006161B8"/>
    <w:rsid w:val="006163F2"/>
    <w:rsid w:val="00617C3B"/>
    <w:rsid w:val="006200A5"/>
    <w:rsid w:val="0062295E"/>
    <w:rsid w:val="00622A30"/>
    <w:rsid w:val="006231CD"/>
    <w:rsid w:val="00623E9E"/>
    <w:rsid w:val="00624B42"/>
    <w:rsid w:val="006263D0"/>
    <w:rsid w:val="00626856"/>
    <w:rsid w:val="00626D40"/>
    <w:rsid w:val="00626FE8"/>
    <w:rsid w:val="00627611"/>
    <w:rsid w:val="00631754"/>
    <w:rsid w:val="00632B9D"/>
    <w:rsid w:val="00633843"/>
    <w:rsid w:val="00634922"/>
    <w:rsid w:val="00636AF0"/>
    <w:rsid w:val="00637764"/>
    <w:rsid w:val="00637D1E"/>
    <w:rsid w:val="00640198"/>
    <w:rsid w:val="006415C0"/>
    <w:rsid w:val="00641797"/>
    <w:rsid w:val="006428CF"/>
    <w:rsid w:val="00644218"/>
    <w:rsid w:val="00647BD0"/>
    <w:rsid w:val="0065031B"/>
    <w:rsid w:val="00650A38"/>
    <w:rsid w:val="00650A4A"/>
    <w:rsid w:val="00650E58"/>
    <w:rsid w:val="00651A31"/>
    <w:rsid w:val="00653054"/>
    <w:rsid w:val="00655ED7"/>
    <w:rsid w:val="00655FAB"/>
    <w:rsid w:val="006561BC"/>
    <w:rsid w:val="00657655"/>
    <w:rsid w:val="006579F0"/>
    <w:rsid w:val="00657D96"/>
    <w:rsid w:val="00660632"/>
    <w:rsid w:val="00661335"/>
    <w:rsid w:val="00662795"/>
    <w:rsid w:val="00665F4D"/>
    <w:rsid w:val="00667331"/>
    <w:rsid w:val="006677C0"/>
    <w:rsid w:val="00667D42"/>
    <w:rsid w:val="006705C1"/>
    <w:rsid w:val="006708F6"/>
    <w:rsid w:val="00671739"/>
    <w:rsid w:val="00673B0D"/>
    <w:rsid w:val="00676336"/>
    <w:rsid w:val="00681D4F"/>
    <w:rsid w:val="00683F1B"/>
    <w:rsid w:val="0068472C"/>
    <w:rsid w:val="00686B4B"/>
    <w:rsid w:val="00686E5E"/>
    <w:rsid w:val="0068727C"/>
    <w:rsid w:val="00687CDC"/>
    <w:rsid w:val="00687D97"/>
    <w:rsid w:val="00692204"/>
    <w:rsid w:val="00694B62"/>
    <w:rsid w:val="00694B9B"/>
    <w:rsid w:val="00695856"/>
    <w:rsid w:val="00697F2B"/>
    <w:rsid w:val="006A2E76"/>
    <w:rsid w:val="006A335E"/>
    <w:rsid w:val="006A3921"/>
    <w:rsid w:val="006B1098"/>
    <w:rsid w:val="006B4F36"/>
    <w:rsid w:val="006B6AAE"/>
    <w:rsid w:val="006B6F2E"/>
    <w:rsid w:val="006B7475"/>
    <w:rsid w:val="006C2813"/>
    <w:rsid w:val="006C28D0"/>
    <w:rsid w:val="006C6541"/>
    <w:rsid w:val="006C655D"/>
    <w:rsid w:val="006C7BBB"/>
    <w:rsid w:val="006D263F"/>
    <w:rsid w:val="006D312D"/>
    <w:rsid w:val="006D3C48"/>
    <w:rsid w:val="006D47E2"/>
    <w:rsid w:val="006D5CA4"/>
    <w:rsid w:val="006D6097"/>
    <w:rsid w:val="006D6499"/>
    <w:rsid w:val="006D66E1"/>
    <w:rsid w:val="006E0D55"/>
    <w:rsid w:val="006E3115"/>
    <w:rsid w:val="006E45CA"/>
    <w:rsid w:val="006E50D4"/>
    <w:rsid w:val="006E60F0"/>
    <w:rsid w:val="006E628A"/>
    <w:rsid w:val="006E6B25"/>
    <w:rsid w:val="006E6CFB"/>
    <w:rsid w:val="006F40D1"/>
    <w:rsid w:val="006F417F"/>
    <w:rsid w:val="006F6A82"/>
    <w:rsid w:val="00700A07"/>
    <w:rsid w:val="007015AF"/>
    <w:rsid w:val="007022B0"/>
    <w:rsid w:val="00702565"/>
    <w:rsid w:val="00705825"/>
    <w:rsid w:val="00706F87"/>
    <w:rsid w:val="007076D7"/>
    <w:rsid w:val="00710708"/>
    <w:rsid w:val="00710DB7"/>
    <w:rsid w:val="0071556F"/>
    <w:rsid w:val="007156C5"/>
    <w:rsid w:val="00715BD9"/>
    <w:rsid w:val="00716463"/>
    <w:rsid w:val="00716A2D"/>
    <w:rsid w:val="0072259C"/>
    <w:rsid w:val="0072305B"/>
    <w:rsid w:val="0072322F"/>
    <w:rsid w:val="007242BE"/>
    <w:rsid w:val="007260E4"/>
    <w:rsid w:val="00727416"/>
    <w:rsid w:val="00727B91"/>
    <w:rsid w:val="00730A27"/>
    <w:rsid w:val="00730C1C"/>
    <w:rsid w:val="00731DB8"/>
    <w:rsid w:val="00731FA1"/>
    <w:rsid w:val="00732155"/>
    <w:rsid w:val="00732848"/>
    <w:rsid w:val="00732B78"/>
    <w:rsid w:val="0073370F"/>
    <w:rsid w:val="00736918"/>
    <w:rsid w:val="007370CD"/>
    <w:rsid w:val="0073797E"/>
    <w:rsid w:val="00744229"/>
    <w:rsid w:val="0074625A"/>
    <w:rsid w:val="00746466"/>
    <w:rsid w:val="00747F78"/>
    <w:rsid w:val="007531B6"/>
    <w:rsid w:val="00753723"/>
    <w:rsid w:val="00753BB2"/>
    <w:rsid w:val="00754438"/>
    <w:rsid w:val="00754ACB"/>
    <w:rsid w:val="00755548"/>
    <w:rsid w:val="00755674"/>
    <w:rsid w:val="007556F0"/>
    <w:rsid w:val="00755787"/>
    <w:rsid w:val="007557ED"/>
    <w:rsid w:val="007620F3"/>
    <w:rsid w:val="0076459C"/>
    <w:rsid w:val="007652C5"/>
    <w:rsid w:val="007653FB"/>
    <w:rsid w:val="00766DA0"/>
    <w:rsid w:val="00767B95"/>
    <w:rsid w:val="00771ACD"/>
    <w:rsid w:val="007741F5"/>
    <w:rsid w:val="00774A39"/>
    <w:rsid w:val="00775802"/>
    <w:rsid w:val="007775A8"/>
    <w:rsid w:val="00777FA2"/>
    <w:rsid w:val="00784E97"/>
    <w:rsid w:val="00785211"/>
    <w:rsid w:val="007874FD"/>
    <w:rsid w:val="00791305"/>
    <w:rsid w:val="00794775"/>
    <w:rsid w:val="00794843"/>
    <w:rsid w:val="007951CC"/>
    <w:rsid w:val="00795746"/>
    <w:rsid w:val="00795FEB"/>
    <w:rsid w:val="007A15D9"/>
    <w:rsid w:val="007A1907"/>
    <w:rsid w:val="007A61BF"/>
    <w:rsid w:val="007A6B4E"/>
    <w:rsid w:val="007A731F"/>
    <w:rsid w:val="007B2B53"/>
    <w:rsid w:val="007B3037"/>
    <w:rsid w:val="007B382B"/>
    <w:rsid w:val="007B38F6"/>
    <w:rsid w:val="007B5A26"/>
    <w:rsid w:val="007B71CC"/>
    <w:rsid w:val="007C644F"/>
    <w:rsid w:val="007C7232"/>
    <w:rsid w:val="007C7628"/>
    <w:rsid w:val="007C7D62"/>
    <w:rsid w:val="007D3456"/>
    <w:rsid w:val="007D4798"/>
    <w:rsid w:val="007E311B"/>
    <w:rsid w:val="007E4ECE"/>
    <w:rsid w:val="007E5BA7"/>
    <w:rsid w:val="007E6E56"/>
    <w:rsid w:val="007E7869"/>
    <w:rsid w:val="007F0DEC"/>
    <w:rsid w:val="007F2164"/>
    <w:rsid w:val="007F33FB"/>
    <w:rsid w:val="007F7D83"/>
    <w:rsid w:val="008068A0"/>
    <w:rsid w:val="00811D59"/>
    <w:rsid w:val="00811DC7"/>
    <w:rsid w:val="00812509"/>
    <w:rsid w:val="00813A3E"/>
    <w:rsid w:val="00813BF8"/>
    <w:rsid w:val="008149E0"/>
    <w:rsid w:val="00817579"/>
    <w:rsid w:val="008201CB"/>
    <w:rsid w:val="00821458"/>
    <w:rsid w:val="00824F45"/>
    <w:rsid w:val="0082794A"/>
    <w:rsid w:val="00827E85"/>
    <w:rsid w:val="00831585"/>
    <w:rsid w:val="00831B85"/>
    <w:rsid w:val="00832B04"/>
    <w:rsid w:val="00834B22"/>
    <w:rsid w:val="00834C57"/>
    <w:rsid w:val="00834E88"/>
    <w:rsid w:val="00841579"/>
    <w:rsid w:val="00841B4F"/>
    <w:rsid w:val="00841CD9"/>
    <w:rsid w:val="00841E91"/>
    <w:rsid w:val="00843E61"/>
    <w:rsid w:val="00845F80"/>
    <w:rsid w:val="00846E1F"/>
    <w:rsid w:val="00847AE6"/>
    <w:rsid w:val="00850E75"/>
    <w:rsid w:val="00851DA7"/>
    <w:rsid w:val="0085253B"/>
    <w:rsid w:val="00852DF0"/>
    <w:rsid w:val="008545E2"/>
    <w:rsid w:val="00857375"/>
    <w:rsid w:val="0086190C"/>
    <w:rsid w:val="00866224"/>
    <w:rsid w:val="00866CC6"/>
    <w:rsid w:val="00866CCD"/>
    <w:rsid w:val="0086789B"/>
    <w:rsid w:val="00867D80"/>
    <w:rsid w:val="0087078D"/>
    <w:rsid w:val="008719E9"/>
    <w:rsid w:val="00872081"/>
    <w:rsid w:val="00873B0D"/>
    <w:rsid w:val="00874DC6"/>
    <w:rsid w:val="00875858"/>
    <w:rsid w:val="00880E41"/>
    <w:rsid w:val="00882374"/>
    <w:rsid w:val="008829A5"/>
    <w:rsid w:val="008836E4"/>
    <w:rsid w:val="00886AD6"/>
    <w:rsid w:val="00886E58"/>
    <w:rsid w:val="00886FD7"/>
    <w:rsid w:val="00887AAC"/>
    <w:rsid w:val="008910BE"/>
    <w:rsid w:val="008928F6"/>
    <w:rsid w:val="00895E8C"/>
    <w:rsid w:val="00896C77"/>
    <w:rsid w:val="008A0325"/>
    <w:rsid w:val="008A04FB"/>
    <w:rsid w:val="008A3941"/>
    <w:rsid w:val="008A460A"/>
    <w:rsid w:val="008A6B93"/>
    <w:rsid w:val="008A789E"/>
    <w:rsid w:val="008B07FF"/>
    <w:rsid w:val="008B08DC"/>
    <w:rsid w:val="008B2374"/>
    <w:rsid w:val="008B36A5"/>
    <w:rsid w:val="008B3A45"/>
    <w:rsid w:val="008B473D"/>
    <w:rsid w:val="008B65C5"/>
    <w:rsid w:val="008B6796"/>
    <w:rsid w:val="008B7651"/>
    <w:rsid w:val="008C054B"/>
    <w:rsid w:val="008C0D3E"/>
    <w:rsid w:val="008C3325"/>
    <w:rsid w:val="008C48D9"/>
    <w:rsid w:val="008C5085"/>
    <w:rsid w:val="008C63E4"/>
    <w:rsid w:val="008C6AB9"/>
    <w:rsid w:val="008D2308"/>
    <w:rsid w:val="008D23C6"/>
    <w:rsid w:val="008D5B82"/>
    <w:rsid w:val="008D6163"/>
    <w:rsid w:val="008E2091"/>
    <w:rsid w:val="008E3AD6"/>
    <w:rsid w:val="008E6266"/>
    <w:rsid w:val="008E7204"/>
    <w:rsid w:val="008F0A1F"/>
    <w:rsid w:val="008F13E2"/>
    <w:rsid w:val="008F199B"/>
    <w:rsid w:val="008F2CA6"/>
    <w:rsid w:val="008F45E4"/>
    <w:rsid w:val="008F4867"/>
    <w:rsid w:val="008F587A"/>
    <w:rsid w:val="008F6496"/>
    <w:rsid w:val="008F679D"/>
    <w:rsid w:val="008F759B"/>
    <w:rsid w:val="009004BD"/>
    <w:rsid w:val="00901174"/>
    <w:rsid w:val="0090359A"/>
    <w:rsid w:val="00911A72"/>
    <w:rsid w:val="0091578D"/>
    <w:rsid w:val="009203AF"/>
    <w:rsid w:val="00926099"/>
    <w:rsid w:val="009267FD"/>
    <w:rsid w:val="00927082"/>
    <w:rsid w:val="0092745C"/>
    <w:rsid w:val="00927A80"/>
    <w:rsid w:val="00931D34"/>
    <w:rsid w:val="00931E09"/>
    <w:rsid w:val="009321F6"/>
    <w:rsid w:val="00934978"/>
    <w:rsid w:val="00936600"/>
    <w:rsid w:val="00937765"/>
    <w:rsid w:val="00940F04"/>
    <w:rsid w:val="009415B1"/>
    <w:rsid w:val="00944001"/>
    <w:rsid w:val="00953547"/>
    <w:rsid w:val="0095398C"/>
    <w:rsid w:val="00954B33"/>
    <w:rsid w:val="00956189"/>
    <w:rsid w:val="0095691A"/>
    <w:rsid w:val="00957C75"/>
    <w:rsid w:val="00960AF9"/>
    <w:rsid w:val="00961454"/>
    <w:rsid w:val="00962342"/>
    <w:rsid w:val="0096679F"/>
    <w:rsid w:val="00966B82"/>
    <w:rsid w:val="009672EA"/>
    <w:rsid w:val="00967361"/>
    <w:rsid w:val="0096774A"/>
    <w:rsid w:val="00971C10"/>
    <w:rsid w:val="009726A8"/>
    <w:rsid w:val="00972943"/>
    <w:rsid w:val="009736A4"/>
    <w:rsid w:val="00974490"/>
    <w:rsid w:val="009745CA"/>
    <w:rsid w:val="00974C76"/>
    <w:rsid w:val="00975B67"/>
    <w:rsid w:val="00976868"/>
    <w:rsid w:val="00976FE9"/>
    <w:rsid w:val="009821A0"/>
    <w:rsid w:val="00986342"/>
    <w:rsid w:val="00986477"/>
    <w:rsid w:val="00986AC5"/>
    <w:rsid w:val="009903C4"/>
    <w:rsid w:val="00992578"/>
    <w:rsid w:val="00994C6C"/>
    <w:rsid w:val="009953A7"/>
    <w:rsid w:val="00996DE1"/>
    <w:rsid w:val="00997FF4"/>
    <w:rsid w:val="009A18F6"/>
    <w:rsid w:val="009A1FC0"/>
    <w:rsid w:val="009A288B"/>
    <w:rsid w:val="009A5E37"/>
    <w:rsid w:val="009A698D"/>
    <w:rsid w:val="009B0105"/>
    <w:rsid w:val="009B1BE6"/>
    <w:rsid w:val="009B2C8E"/>
    <w:rsid w:val="009B5499"/>
    <w:rsid w:val="009B7382"/>
    <w:rsid w:val="009C34C2"/>
    <w:rsid w:val="009C37C6"/>
    <w:rsid w:val="009C4C1E"/>
    <w:rsid w:val="009C4F39"/>
    <w:rsid w:val="009C70E9"/>
    <w:rsid w:val="009C7B73"/>
    <w:rsid w:val="009D39C5"/>
    <w:rsid w:val="009D4185"/>
    <w:rsid w:val="009D57EC"/>
    <w:rsid w:val="009D615F"/>
    <w:rsid w:val="009D7D0E"/>
    <w:rsid w:val="009E03C7"/>
    <w:rsid w:val="009E1C5F"/>
    <w:rsid w:val="009E35E9"/>
    <w:rsid w:val="009E581A"/>
    <w:rsid w:val="009F00C7"/>
    <w:rsid w:val="009F064F"/>
    <w:rsid w:val="009F16EA"/>
    <w:rsid w:val="009F1784"/>
    <w:rsid w:val="009F1EB4"/>
    <w:rsid w:val="009F6192"/>
    <w:rsid w:val="009F79CC"/>
    <w:rsid w:val="009F7D72"/>
    <w:rsid w:val="009F7E2C"/>
    <w:rsid w:val="00A01728"/>
    <w:rsid w:val="00A01B2A"/>
    <w:rsid w:val="00A02467"/>
    <w:rsid w:val="00A02C01"/>
    <w:rsid w:val="00A02CAB"/>
    <w:rsid w:val="00A04BDA"/>
    <w:rsid w:val="00A05259"/>
    <w:rsid w:val="00A069E6"/>
    <w:rsid w:val="00A11982"/>
    <w:rsid w:val="00A12103"/>
    <w:rsid w:val="00A12F01"/>
    <w:rsid w:val="00A135F7"/>
    <w:rsid w:val="00A14BBB"/>
    <w:rsid w:val="00A15E7A"/>
    <w:rsid w:val="00A16270"/>
    <w:rsid w:val="00A17DC2"/>
    <w:rsid w:val="00A17F79"/>
    <w:rsid w:val="00A25333"/>
    <w:rsid w:val="00A25F8C"/>
    <w:rsid w:val="00A26709"/>
    <w:rsid w:val="00A3175D"/>
    <w:rsid w:val="00A32A90"/>
    <w:rsid w:val="00A350CF"/>
    <w:rsid w:val="00A355C8"/>
    <w:rsid w:val="00A41FF2"/>
    <w:rsid w:val="00A42460"/>
    <w:rsid w:val="00A42CDA"/>
    <w:rsid w:val="00A46CBE"/>
    <w:rsid w:val="00A50D1C"/>
    <w:rsid w:val="00A50D49"/>
    <w:rsid w:val="00A51E58"/>
    <w:rsid w:val="00A56227"/>
    <w:rsid w:val="00A62336"/>
    <w:rsid w:val="00A64969"/>
    <w:rsid w:val="00A65838"/>
    <w:rsid w:val="00A67D8A"/>
    <w:rsid w:val="00A71C6B"/>
    <w:rsid w:val="00A73709"/>
    <w:rsid w:val="00A7594B"/>
    <w:rsid w:val="00A76CD9"/>
    <w:rsid w:val="00A77454"/>
    <w:rsid w:val="00A8155F"/>
    <w:rsid w:val="00A839EE"/>
    <w:rsid w:val="00A841D2"/>
    <w:rsid w:val="00A86803"/>
    <w:rsid w:val="00A91824"/>
    <w:rsid w:val="00A91BBF"/>
    <w:rsid w:val="00A91D8A"/>
    <w:rsid w:val="00A944DF"/>
    <w:rsid w:val="00A9638F"/>
    <w:rsid w:val="00A96FD0"/>
    <w:rsid w:val="00AA12DA"/>
    <w:rsid w:val="00AA297F"/>
    <w:rsid w:val="00AA4695"/>
    <w:rsid w:val="00AA50D3"/>
    <w:rsid w:val="00AA5781"/>
    <w:rsid w:val="00AA6995"/>
    <w:rsid w:val="00AA6D96"/>
    <w:rsid w:val="00AA6F6A"/>
    <w:rsid w:val="00AA734B"/>
    <w:rsid w:val="00AA7DCB"/>
    <w:rsid w:val="00AA7F40"/>
    <w:rsid w:val="00AB1803"/>
    <w:rsid w:val="00AB3358"/>
    <w:rsid w:val="00AB5A78"/>
    <w:rsid w:val="00AB60BE"/>
    <w:rsid w:val="00AB680C"/>
    <w:rsid w:val="00AB7C53"/>
    <w:rsid w:val="00AB7EDB"/>
    <w:rsid w:val="00AC0297"/>
    <w:rsid w:val="00AC083D"/>
    <w:rsid w:val="00AC1A4B"/>
    <w:rsid w:val="00AC29BB"/>
    <w:rsid w:val="00AC2A16"/>
    <w:rsid w:val="00AC2DEE"/>
    <w:rsid w:val="00AC3339"/>
    <w:rsid w:val="00AC4EE2"/>
    <w:rsid w:val="00AC53E0"/>
    <w:rsid w:val="00AC60CC"/>
    <w:rsid w:val="00AC7EC7"/>
    <w:rsid w:val="00AD090B"/>
    <w:rsid w:val="00AD266F"/>
    <w:rsid w:val="00AD6EB9"/>
    <w:rsid w:val="00AE3B09"/>
    <w:rsid w:val="00AE4397"/>
    <w:rsid w:val="00AE4B04"/>
    <w:rsid w:val="00AE5535"/>
    <w:rsid w:val="00AE5575"/>
    <w:rsid w:val="00AF3520"/>
    <w:rsid w:val="00AF7D11"/>
    <w:rsid w:val="00B000A2"/>
    <w:rsid w:val="00B00C0D"/>
    <w:rsid w:val="00B00F94"/>
    <w:rsid w:val="00B01EC7"/>
    <w:rsid w:val="00B03155"/>
    <w:rsid w:val="00B03FE4"/>
    <w:rsid w:val="00B04FD9"/>
    <w:rsid w:val="00B0632D"/>
    <w:rsid w:val="00B06B1C"/>
    <w:rsid w:val="00B071DE"/>
    <w:rsid w:val="00B0743F"/>
    <w:rsid w:val="00B07EB3"/>
    <w:rsid w:val="00B07F6F"/>
    <w:rsid w:val="00B10A9C"/>
    <w:rsid w:val="00B10F11"/>
    <w:rsid w:val="00B12889"/>
    <w:rsid w:val="00B12DAE"/>
    <w:rsid w:val="00B1388E"/>
    <w:rsid w:val="00B13B69"/>
    <w:rsid w:val="00B14EF2"/>
    <w:rsid w:val="00B16014"/>
    <w:rsid w:val="00B16F19"/>
    <w:rsid w:val="00B17C1D"/>
    <w:rsid w:val="00B17DFD"/>
    <w:rsid w:val="00B20ABF"/>
    <w:rsid w:val="00B21BCF"/>
    <w:rsid w:val="00B2216D"/>
    <w:rsid w:val="00B23D91"/>
    <w:rsid w:val="00B24A89"/>
    <w:rsid w:val="00B254B3"/>
    <w:rsid w:val="00B256A0"/>
    <w:rsid w:val="00B33088"/>
    <w:rsid w:val="00B34F47"/>
    <w:rsid w:val="00B36182"/>
    <w:rsid w:val="00B37FCA"/>
    <w:rsid w:val="00B40932"/>
    <w:rsid w:val="00B42EDF"/>
    <w:rsid w:val="00B43D13"/>
    <w:rsid w:val="00B44199"/>
    <w:rsid w:val="00B4465F"/>
    <w:rsid w:val="00B45661"/>
    <w:rsid w:val="00B45B0B"/>
    <w:rsid w:val="00B47EDA"/>
    <w:rsid w:val="00B504CE"/>
    <w:rsid w:val="00B52074"/>
    <w:rsid w:val="00B52790"/>
    <w:rsid w:val="00B53C19"/>
    <w:rsid w:val="00B5474A"/>
    <w:rsid w:val="00B54D49"/>
    <w:rsid w:val="00B55739"/>
    <w:rsid w:val="00B57069"/>
    <w:rsid w:val="00B60EAF"/>
    <w:rsid w:val="00B619F0"/>
    <w:rsid w:val="00B63418"/>
    <w:rsid w:val="00B640C1"/>
    <w:rsid w:val="00B65D75"/>
    <w:rsid w:val="00B70112"/>
    <w:rsid w:val="00B70DB7"/>
    <w:rsid w:val="00B713AA"/>
    <w:rsid w:val="00B720CA"/>
    <w:rsid w:val="00B722F7"/>
    <w:rsid w:val="00B72E57"/>
    <w:rsid w:val="00B73D65"/>
    <w:rsid w:val="00B75C5B"/>
    <w:rsid w:val="00B76662"/>
    <w:rsid w:val="00B76E0B"/>
    <w:rsid w:val="00B77D0F"/>
    <w:rsid w:val="00B8173A"/>
    <w:rsid w:val="00B821DB"/>
    <w:rsid w:val="00B8275F"/>
    <w:rsid w:val="00B839DF"/>
    <w:rsid w:val="00B85AD3"/>
    <w:rsid w:val="00B870E1"/>
    <w:rsid w:val="00B8757B"/>
    <w:rsid w:val="00B907E7"/>
    <w:rsid w:val="00B91468"/>
    <w:rsid w:val="00B92A46"/>
    <w:rsid w:val="00B92C67"/>
    <w:rsid w:val="00B93FB8"/>
    <w:rsid w:val="00B95D63"/>
    <w:rsid w:val="00BA02E1"/>
    <w:rsid w:val="00BA04B2"/>
    <w:rsid w:val="00BA0BB9"/>
    <w:rsid w:val="00BA11A2"/>
    <w:rsid w:val="00BA2648"/>
    <w:rsid w:val="00BA2E77"/>
    <w:rsid w:val="00BA3AC1"/>
    <w:rsid w:val="00BA51B2"/>
    <w:rsid w:val="00BB00C5"/>
    <w:rsid w:val="00BB056F"/>
    <w:rsid w:val="00BB0698"/>
    <w:rsid w:val="00BB0E08"/>
    <w:rsid w:val="00BB489D"/>
    <w:rsid w:val="00BB6475"/>
    <w:rsid w:val="00BB77B3"/>
    <w:rsid w:val="00BC3E4E"/>
    <w:rsid w:val="00BC5A52"/>
    <w:rsid w:val="00BC701E"/>
    <w:rsid w:val="00BC7170"/>
    <w:rsid w:val="00BD143C"/>
    <w:rsid w:val="00BD1C0F"/>
    <w:rsid w:val="00BD2980"/>
    <w:rsid w:val="00BD3E10"/>
    <w:rsid w:val="00BD4C83"/>
    <w:rsid w:val="00BD5948"/>
    <w:rsid w:val="00BE0ABA"/>
    <w:rsid w:val="00BE1F55"/>
    <w:rsid w:val="00BE1FA2"/>
    <w:rsid w:val="00BE3DBD"/>
    <w:rsid w:val="00BE5991"/>
    <w:rsid w:val="00BE6B9D"/>
    <w:rsid w:val="00BE7822"/>
    <w:rsid w:val="00BF0E65"/>
    <w:rsid w:val="00BF1BFA"/>
    <w:rsid w:val="00BF2C54"/>
    <w:rsid w:val="00BF315A"/>
    <w:rsid w:val="00BF33D0"/>
    <w:rsid w:val="00BF3AD7"/>
    <w:rsid w:val="00C01862"/>
    <w:rsid w:val="00C023EE"/>
    <w:rsid w:val="00C0394F"/>
    <w:rsid w:val="00C042FE"/>
    <w:rsid w:val="00C052DE"/>
    <w:rsid w:val="00C0594D"/>
    <w:rsid w:val="00C05BAD"/>
    <w:rsid w:val="00C05E47"/>
    <w:rsid w:val="00C06169"/>
    <w:rsid w:val="00C11B7A"/>
    <w:rsid w:val="00C128DF"/>
    <w:rsid w:val="00C129BF"/>
    <w:rsid w:val="00C12A1D"/>
    <w:rsid w:val="00C14F39"/>
    <w:rsid w:val="00C15949"/>
    <w:rsid w:val="00C160A9"/>
    <w:rsid w:val="00C16E71"/>
    <w:rsid w:val="00C176F3"/>
    <w:rsid w:val="00C17CB7"/>
    <w:rsid w:val="00C20512"/>
    <w:rsid w:val="00C22623"/>
    <w:rsid w:val="00C24C39"/>
    <w:rsid w:val="00C276D1"/>
    <w:rsid w:val="00C278C8"/>
    <w:rsid w:val="00C30C4C"/>
    <w:rsid w:val="00C32225"/>
    <w:rsid w:val="00C32A53"/>
    <w:rsid w:val="00C3486F"/>
    <w:rsid w:val="00C35F69"/>
    <w:rsid w:val="00C37D68"/>
    <w:rsid w:val="00C42161"/>
    <w:rsid w:val="00C43147"/>
    <w:rsid w:val="00C43F83"/>
    <w:rsid w:val="00C47425"/>
    <w:rsid w:val="00C4746A"/>
    <w:rsid w:val="00C511F5"/>
    <w:rsid w:val="00C51E5E"/>
    <w:rsid w:val="00C54750"/>
    <w:rsid w:val="00C54BDD"/>
    <w:rsid w:val="00C57A36"/>
    <w:rsid w:val="00C6006D"/>
    <w:rsid w:val="00C60F28"/>
    <w:rsid w:val="00C632EE"/>
    <w:rsid w:val="00C63F71"/>
    <w:rsid w:val="00C641BC"/>
    <w:rsid w:val="00C64252"/>
    <w:rsid w:val="00C654B3"/>
    <w:rsid w:val="00C672B5"/>
    <w:rsid w:val="00C67734"/>
    <w:rsid w:val="00C67BD1"/>
    <w:rsid w:val="00C734E1"/>
    <w:rsid w:val="00C73C94"/>
    <w:rsid w:val="00C744EA"/>
    <w:rsid w:val="00C760B3"/>
    <w:rsid w:val="00C77D98"/>
    <w:rsid w:val="00C807D3"/>
    <w:rsid w:val="00C82552"/>
    <w:rsid w:val="00C84475"/>
    <w:rsid w:val="00C8497B"/>
    <w:rsid w:val="00C86EA5"/>
    <w:rsid w:val="00C904EA"/>
    <w:rsid w:val="00C91282"/>
    <w:rsid w:val="00C9398F"/>
    <w:rsid w:val="00C95EBF"/>
    <w:rsid w:val="00C97A0C"/>
    <w:rsid w:val="00CA4597"/>
    <w:rsid w:val="00CA5933"/>
    <w:rsid w:val="00CA61D9"/>
    <w:rsid w:val="00CA6385"/>
    <w:rsid w:val="00CB0DD9"/>
    <w:rsid w:val="00CB18E8"/>
    <w:rsid w:val="00CB19C5"/>
    <w:rsid w:val="00CB1AD5"/>
    <w:rsid w:val="00CB2224"/>
    <w:rsid w:val="00CB2302"/>
    <w:rsid w:val="00CB24BF"/>
    <w:rsid w:val="00CB4000"/>
    <w:rsid w:val="00CB44E9"/>
    <w:rsid w:val="00CB4A8E"/>
    <w:rsid w:val="00CB4E45"/>
    <w:rsid w:val="00CB5E31"/>
    <w:rsid w:val="00CB6A0E"/>
    <w:rsid w:val="00CB7861"/>
    <w:rsid w:val="00CC09C5"/>
    <w:rsid w:val="00CC33D9"/>
    <w:rsid w:val="00CC5002"/>
    <w:rsid w:val="00CC652F"/>
    <w:rsid w:val="00CC69B1"/>
    <w:rsid w:val="00CC7BC9"/>
    <w:rsid w:val="00CD0DFE"/>
    <w:rsid w:val="00CD335A"/>
    <w:rsid w:val="00CD3373"/>
    <w:rsid w:val="00CD43EF"/>
    <w:rsid w:val="00CD4613"/>
    <w:rsid w:val="00CD4EC6"/>
    <w:rsid w:val="00CE0114"/>
    <w:rsid w:val="00CE1971"/>
    <w:rsid w:val="00CE1D4F"/>
    <w:rsid w:val="00CE499C"/>
    <w:rsid w:val="00CE528A"/>
    <w:rsid w:val="00CE5819"/>
    <w:rsid w:val="00CF1142"/>
    <w:rsid w:val="00CF185A"/>
    <w:rsid w:val="00CF477F"/>
    <w:rsid w:val="00CF4C17"/>
    <w:rsid w:val="00CF5C47"/>
    <w:rsid w:val="00D00099"/>
    <w:rsid w:val="00D00461"/>
    <w:rsid w:val="00D0063D"/>
    <w:rsid w:val="00D014F6"/>
    <w:rsid w:val="00D03F89"/>
    <w:rsid w:val="00D05091"/>
    <w:rsid w:val="00D05E78"/>
    <w:rsid w:val="00D06FE6"/>
    <w:rsid w:val="00D07C47"/>
    <w:rsid w:val="00D10A09"/>
    <w:rsid w:val="00D10EBE"/>
    <w:rsid w:val="00D1551F"/>
    <w:rsid w:val="00D2243D"/>
    <w:rsid w:val="00D24272"/>
    <w:rsid w:val="00D253AF"/>
    <w:rsid w:val="00D25E31"/>
    <w:rsid w:val="00D27D76"/>
    <w:rsid w:val="00D3080A"/>
    <w:rsid w:val="00D30A31"/>
    <w:rsid w:val="00D318AF"/>
    <w:rsid w:val="00D326A1"/>
    <w:rsid w:val="00D33245"/>
    <w:rsid w:val="00D349DF"/>
    <w:rsid w:val="00D375A2"/>
    <w:rsid w:val="00D377F3"/>
    <w:rsid w:val="00D37827"/>
    <w:rsid w:val="00D37867"/>
    <w:rsid w:val="00D37BB1"/>
    <w:rsid w:val="00D37E22"/>
    <w:rsid w:val="00D408B5"/>
    <w:rsid w:val="00D422F0"/>
    <w:rsid w:val="00D43272"/>
    <w:rsid w:val="00D4353E"/>
    <w:rsid w:val="00D4404C"/>
    <w:rsid w:val="00D44F5A"/>
    <w:rsid w:val="00D4720A"/>
    <w:rsid w:val="00D505D7"/>
    <w:rsid w:val="00D50F03"/>
    <w:rsid w:val="00D52449"/>
    <w:rsid w:val="00D556A0"/>
    <w:rsid w:val="00D55AA8"/>
    <w:rsid w:val="00D61107"/>
    <w:rsid w:val="00D65F41"/>
    <w:rsid w:val="00D66219"/>
    <w:rsid w:val="00D66525"/>
    <w:rsid w:val="00D67CF8"/>
    <w:rsid w:val="00D71276"/>
    <w:rsid w:val="00D77004"/>
    <w:rsid w:val="00D77779"/>
    <w:rsid w:val="00D80248"/>
    <w:rsid w:val="00D81559"/>
    <w:rsid w:val="00D831A0"/>
    <w:rsid w:val="00D8420A"/>
    <w:rsid w:val="00D84F8A"/>
    <w:rsid w:val="00D86CDA"/>
    <w:rsid w:val="00D86EC5"/>
    <w:rsid w:val="00D86F91"/>
    <w:rsid w:val="00D87A88"/>
    <w:rsid w:val="00D91371"/>
    <w:rsid w:val="00D93568"/>
    <w:rsid w:val="00D93E64"/>
    <w:rsid w:val="00D94860"/>
    <w:rsid w:val="00D95948"/>
    <w:rsid w:val="00D96998"/>
    <w:rsid w:val="00D970C8"/>
    <w:rsid w:val="00DA2E47"/>
    <w:rsid w:val="00DA3F82"/>
    <w:rsid w:val="00DA55B1"/>
    <w:rsid w:val="00DB1030"/>
    <w:rsid w:val="00DB138A"/>
    <w:rsid w:val="00DB48D7"/>
    <w:rsid w:val="00DB48E1"/>
    <w:rsid w:val="00DB5371"/>
    <w:rsid w:val="00DB58E7"/>
    <w:rsid w:val="00DB67F4"/>
    <w:rsid w:val="00DB6FE9"/>
    <w:rsid w:val="00DC032C"/>
    <w:rsid w:val="00DC0703"/>
    <w:rsid w:val="00DC0C1D"/>
    <w:rsid w:val="00DC21F8"/>
    <w:rsid w:val="00DC2476"/>
    <w:rsid w:val="00DC2977"/>
    <w:rsid w:val="00DC4368"/>
    <w:rsid w:val="00DC5507"/>
    <w:rsid w:val="00DD0996"/>
    <w:rsid w:val="00DD1A3B"/>
    <w:rsid w:val="00DD2C3C"/>
    <w:rsid w:val="00DD3986"/>
    <w:rsid w:val="00DD4119"/>
    <w:rsid w:val="00DD4A23"/>
    <w:rsid w:val="00DD4E4E"/>
    <w:rsid w:val="00DD5E4A"/>
    <w:rsid w:val="00DD711A"/>
    <w:rsid w:val="00DD7FFC"/>
    <w:rsid w:val="00DE3A0C"/>
    <w:rsid w:val="00DE46A8"/>
    <w:rsid w:val="00DE4B77"/>
    <w:rsid w:val="00DE57EB"/>
    <w:rsid w:val="00DE7009"/>
    <w:rsid w:val="00DE74AA"/>
    <w:rsid w:val="00DF1E57"/>
    <w:rsid w:val="00DF2282"/>
    <w:rsid w:val="00DF239B"/>
    <w:rsid w:val="00DF2ABE"/>
    <w:rsid w:val="00DF4FC5"/>
    <w:rsid w:val="00DF5E93"/>
    <w:rsid w:val="00DF6480"/>
    <w:rsid w:val="00E008E6"/>
    <w:rsid w:val="00E024C8"/>
    <w:rsid w:val="00E02F1C"/>
    <w:rsid w:val="00E03C35"/>
    <w:rsid w:val="00E05536"/>
    <w:rsid w:val="00E07BC4"/>
    <w:rsid w:val="00E10D38"/>
    <w:rsid w:val="00E1170C"/>
    <w:rsid w:val="00E11F67"/>
    <w:rsid w:val="00E123B2"/>
    <w:rsid w:val="00E14199"/>
    <w:rsid w:val="00E14E92"/>
    <w:rsid w:val="00E17ED4"/>
    <w:rsid w:val="00E206E7"/>
    <w:rsid w:val="00E20A7D"/>
    <w:rsid w:val="00E21A64"/>
    <w:rsid w:val="00E232CA"/>
    <w:rsid w:val="00E234A1"/>
    <w:rsid w:val="00E24C42"/>
    <w:rsid w:val="00E257F1"/>
    <w:rsid w:val="00E25CEC"/>
    <w:rsid w:val="00E262FF"/>
    <w:rsid w:val="00E27A31"/>
    <w:rsid w:val="00E31A11"/>
    <w:rsid w:val="00E31E1F"/>
    <w:rsid w:val="00E336C3"/>
    <w:rsid w:val="00E342DD"/>
    <w:rsid w:val="00E40982"/>
    <w:rsid w:val="00E42D8A"/>
    <w:rsid w:val="00E43C56"/>
    <w:rsid w:val="00E4455A"/>
    <w:rsid w:val="00E4615B"/>
    <w:rsid w:val="00E47ACC"/>
    <w:rsid w:val="00E52556"/>
    <w:rsid w:val="00E537F3"/>
    <w:rsid w:val="00E542B3"/>
    <w:rsid w:val="00E64135"/>
    <w:rsid w:val="00E64355"/>
    <w:rsid w:val="00E64EB7"/>
    <w:rsid w:val="00E6694E"/>
    <w:rsid w:val="00E67575"/>
    <w:rsid w:val="00E67F74"/>
    <w:rsid w:val="00E71145"/>
    <w:rsid w:val="00E71CAE"/>
    <w:rsid w:val="00E72897"/>
    <w:rsid w:val="00E75B1D"/>
    <w:rsid w:val="00E76570"/>
    <w:rsid w:val="00E76F54"/>
    <w:rsid w:val="00E776A9"/>
    <w:rsid w:val="00E77F61"/>
    <w:rsid w:val="00E80039"/>
    <w:rsid w:val="00E80CC0"/>
    <w:rsid w:val="00E81D4F"/>
    <w:rsid w:val="00E845D1"/>
    <w:rsid w:val="00E85B4E"/>
    <w:rsid w:val="00E85BE4"/>
    <w:rsid w:val="00E86006"/>
    <w:rsid w:val="00E874AA"/>
    <w:rsid w:val="00E87710"/>
    <w:rsid w:val="00E91F9B"/>
    <w:rsid w:val="00E92EAA"/>
    <w:rsid w:val="00E9326E"/>
    <w:rsid w:val="00E94B8C"/>
    <w:rsid w:val="00E95DC2"/>
    <w:rsid w:val="00E96FB4"/>
    <w:rsid w:val="00E97066"/>
    <w:rsid w:val="00E97343"/>
    <w:rsid w:val="00EA137C"/>
    <w:rsid w:val="00EA1695"/>
    <w:rsid w:val="00EA1C8A"/>
    <w:rsid w:val="00EA3888"/>
    <w:rsid w:val="00EA49F5"/>
    <w:rsid w:val="00EA69CC"/>
    <w:rsid w:val="00EA6DEC"/>
    <w:rsid w:val="00EA7995"/>
    <w:rsid w:val="00EB0632"/>
    <w:rsid w:val="00EB2544"/>
    <w:rsid w:val="00EB4045"/>
    <w:rsid w:val="00EB43E0"/>
    <w:rsid w:val="00EB4A7D"/>
    <w:rsid w:val="00EB695B"/>
    <w:rsid w:val="00EC05DB"/>
    <w:rsid w:val="00EC0E9B"/>
    <w:rsid w:val="00EC3087"/>
    <w:rsid w:val="00EC3EE9"/>
    <w:rsid w:val="00EC3F76"/>
    <w:rsid w:val="00EC41F9"/>
    <w:rsid w:val="00EC4C42"/>
    <w:rsid w:val="00ED0347"/>
    <w:rsid w:val="00ED1FBE"/>
    <w:rsid w:val="00ED215E"/>
    <w:rsid w:val="00ED40C1"/>
    <w:rsid w:val="00ED4F3B"/>
    <w:rsid w:val="00ED512A"/>
    <w:rsid w:val="00ED57D9"/>
    <w:rsid w:val="00EE1825"/>
    <w:rsid w:val="00EE331E"/>
    <w:rsid w:val="00EE493F"/>
    <w:rsid w:val="00EE7A5C"/>
    <w:rsid w:val="00EF1D3A"/>
    <w:rsid w:val="00EF40D9"/>
    <w:rsid w:val="00EF4CEC"/>
    <w:rsid w:val="00EF4E93"/>
    <w:rsid w:val="00EF7844"/>
    <w:rsid w:val="00EF787B"/>
    <w:rsid w:val="00F01316"/>
    <w:rsid w:val="00F0276A"/>
    <w:rsid w:val="00F02C60"/>
    <w:rsid w:val="00F043C9"/>
    <w:rsid w:val="00F0443A"/>
    <w:rsid w:val="00F053D7"/>
    <w:rsid w:val="00F0555C"/>
    <w:rsid w:val="00F0555E"/>
    <w:rsid w:val="00F07414"/>
    <w:rsid w:val="00F07415"/>
    <w:rsid w:val="00F07968"/>
    <w:rsid w:val="00F07AEB"/>
    <w:rsid w:val="00F07C13"/>
    <w:rsid w:val="00F104E0"/>
    <w:rsid w:val="00F10A97"/>
    <w:rsid w:val="00F13089"/>
    <w:rsid w:val="00F135A9"/>
    <w:rsid w:val="00F16C32"/>
    <w:rsid w:val="00F1766F"/>
    <w:rsid w:val="00F20825"/>
    <w:rsid w:val="00F214BB"/>
    <w:rsid w:val="00F21E9C"/>
    <w:rsid w:val="00F23008"/>
    <w:rsid w:val="00F24276"/>
    <w:rsid w:val="00F2528E"/>
    <w:rsid w:val="00F25D7C"/>
    <w:rsid w:val="00F26EEA"/>
    <w:rsid w:val="00F30CB6"/>
    <w:rsid w:val="00F31EF5"/>
    <w:rsid w:val="00F31FF3"/>
    <w:rsid w:val="00F32B50"/>
    <w:rsid w:val="00F32E29"/>
    <w:rsid w:val="00F348C3"/>
    <w:rsid w:val="00F355B5"/>
    <w:rsid w:val="00F401D7"/>
    <w:rsid w:val="00F406EC"/>
    <w:rsid w:val="00F40B75"/>
    <w:rsid w:val="00F411D1"/>
    <w:rsid w:val="00F425A9"/>
    <w:rsid w:val="00F4447F"/>
    <w:rsid w:val="00F447E5"/>
    <w:rsid w:val="00F47517"/>
    <w:rsid w:val="00F47797"/>
    <w:rsid w:val="00F502B4"/>
    <w:rsid w:val="00F52D98"/>
    <w:rsid w:val="00F53DC8"/>
    <w:rsid w:val="00F5612E"/>
    <w:rsid w:val="00F56B3F"/>
    <w:rsid w:val="00F6071F"/>
    <w:rsid w:val="00F6084A"/>
    <w:rsid w:val="00F63C84"/>
    <w:rsid w:val="00F642E5"/>
    <w:rsid w:val="00F7000B"/>
    <w:rsid w:val="00F702EF"/>
    <w:rsid w:val="00F71ADE"/>
    <w:rsid w:val="00F72C38"/>
    <w:rsid w:val="00F736DF"/>
    <w:rsid w:val="00F778C5"/>
    <w:rsid w:val="00F77D8D"/>
    <w:rsid w:val="00F805DB"/>
    <w:rsid w:val="00F82D28"/>
    <w:rsid w:val="00F8530B"/>
    <w:rsid w:val="00F930E5"/>
    <w:rsid w:val="00F93624"/>
    <w:rsid w:val="00F96664"/>
    <w:rsid w:val="00F968C8"/>
    <w:rsid w:val="00F96D28"/>
    <w:rsid w:val="00F96EC6"/>
    <w:rsid w:val="00F97FFE"/>
    <w:rsid w:val="00FA06B9"/>
    <w:rsid w:val="00FA0969"/>
    <w:rsid w:val="00FA11A7"/>
    <w:rsid w:val="00FA18E1"/>
    <w:rsid w:val="00FA1A19"/>
    <w:rsid w:val="00FA495E"/>
    <w:rsid w:val="00FA7BAF"/>
    <w:rsid w:val="00FB1293"/>
    <w:rsid w:val="00FB169A"/>
    <w:rsid w:val="00FB3188"/>
    <w:rsid w:val="00FB3305"/>
    <w:rsid w:val="00FB46C7"/>
    <w:rsid w:val="00FB52A6"/>
    <w:rsid w:val="00FB7308"/>
    <w:rsid w:val="00FC0789"/>
    <w:rsid w:val="00FC114D"/>
    <w:rsid w:val="00FC38B2"/>
    <w:rsid w:val="00FC3937"/>
    <w:rsid w:val="00FC4475"/>
    <w:rsid w:val="00FC4B39"/>
    <w:rsid w:val="00FC5AB3"/>
    <w:rsid w:val="00FC672B"/>
    <w:rsid w:val="00FC7E32"/>
    <w:rsid w:val="00FD2577"/>
    <w:rsid w:val="00FD36AB"/>
    <w:rsid w:val="00FD7A4B"/>
    <w:rsid w:val="00FE17E6"/>
    <w:rsid w:val="00FE5202"/>
    <w:rsid w:val="00FE55CF"/>
    <w:rsid w:val="00FE78A7"/>
    <w:rsid w:val="00FF2437"/>
    <w:rsid w:val="00FF32D7"/>
    <w:rsid w:val="00FF34D4"/>
    <w:rsid w:val="00FF4E85"/>
    <w:rsid w:val="00FF713A"/>
    <w:rsid w:val="01714D1A"/>
    <w:rsid w:val="01DF11B0"/>
    <w:rsid w:val="02461292"/>
    <w:rsid w:val="026571EA"/>
    <w:rsid w:val="02813017"/>
    <w:rsid w:val="032561EF"/>
    <w:rsid w:val="034B5B9B"/>
    <w:rsid w:val="035338D0"/>
    <w:rsid w:val="039E3D8C"/>
    <w:rsid w:val="03C47727"/>
    <w:rsid w:val="03FE4010"/>
    <w:rsid w:val="041315F7"/>
    <w:rsid w:val="049233AC"/>
    <w:rsid w:val="064C6E1D"/>
    <w:rsid w:val="074D7652"/>
    <w:rsid w:val="08017C88"/>
    <w:rsid w:val="08172697"/>
    <w:rsid w:val="081E7472"/>
    <w:rsid w:val="08AD7BC7"/>
    <w:rsid w:val="08B329F5"/>
    <w:rsid w:val="08CA7F5B"/>
    <w:rsid w:val="095E36D9"/>
    <w:rsid w:val="0978143F"/>
    <w:rsid w:val="09D64BFE"/>
    <w:rsid w:val="09DA3E43"/>
    <w:rsid w:val="0A217366"/>
    <w:rsid w:val="0B540CC3"/>
    <w:rsid w:val="0BFA0DA1"/>
    <w:rsid w:val="0C624417"/>
    <w:rsid w:val="0C740024"/>
    <w:rsid w:val="0C8C2646"/>
    <w:rsid w:val="0CCA775E"/>
    <w:rsid w:val="0CD37AA0"/>
    <w:rsid w:val="0CDE7BF3"/>
    <w:rsid w:val="0D7865FF"/>
    <w:rsid w:val="0EB955BE"/>
    <w:rsid w:val="0F7A7A3F"/>
    <w:rsid w:val="0FC02632"/>
    <w:rsid w:val="0FCB7622"/>
    <w:rsid w:val="10AA292E"/>
    <w:rsid w:val="11AE7B30"/>
    <w:rsid w:val="123406FD"/>
    <w:rsid w:val="127A5CED"/>
    <w:rsid w:val="12F530DB"/>
    <w:rsid w:val="131469F4"/>
    <w:rsid w:val="132459A8"/>
    <w:rsid w:val="13366F7F"/>
    <w:rsid w:val="133857B4"/>
    <w:rsid w:val="13387271"/>
    <w:rsid w:val="136E789F"/>
    <w:rsid w:val="13B356AD"/>
    <w:rsid w:val="13E85D58"/>
    <w:rsid w:val="14C164DC"/>
    <w:rsid w:val="1540582F"/>
    <w:rsid w:val="15420548"/>
    <w:rsid w:val="1573641C"/>
    <w:rsid w:val="15D563FB"/>
    <w:rsid w:val="16333BC5"/>
    <w:rsid w:val="16805B35"/>
    <w:rsid w:val="16AA17E3"/>
    <w:rsid w:val="16E120D3"/>
    <w:rsid w:val="16E93516"/>
    <w:rsid w:val="17213387"/>
    <w:rsid w:val="17B969CB"/>
    <w:rsid w:val="1801486A"/>
    <w:rsid w:val="181D34DE"/>
    <w:rsid w:val="185C6A5B"/>
    <w:rsid w:val="18784A43"/>
    <w:rsid w:val="1883255C"/>
    <w:rsid w:val="18A6328A"/>
    <w:rsid w:val="1A4D0984"/>
    <w:rsid w:val="1A9709B8"/>
    <w:rsid w:val="1AB55579"/>
    <w:rsid w:val="1AC70660"/>
    <w:rsid w:val="1CCB5B9F"/>
    <w:rsid w:val="1D3F1063"/>
    <w:rsid w:val="1DE4177F"/>
    <w:rsid w:val="1E6A3DFF"/>
    <w:rsid w:val="1E6F7BB5"/>
    <w:rsid w:val="1E7727B9"/>
    <w:rsid w:val="1F1226A9"/>
    <w:rsid w:val="1F380142"/>
    <w:rsid w:val="1F7E7CBA"/>
    <w:rsid w:val="2017576D"/>
    <w:rsid w:val="20234295"/>
    <w:rsid w:val="20322ED0"/>
    <w:rsid w:val="20417CE6"/>
    <w:rsid w:val="20524963"/>
    <w:rsid w:val="20B61D66"/>
    <w:rsid w:val="214E5CC0"/>
    <w:rsid w:val="221F2190"/>
    <w:rsid w:val="22634865"/>
    <w:rsid w:val="22805A48"/>
    <w:rsid w:val="23E701BA"/>
    <w:rsid w:val="24657F1D"/>
    <w:rsid w:val="249A4A2F"/>
    <w:rsid w:val="24AC11ED"/>
    <w:rsid w:val="2573403D"/>
    <w:rsid w:val="25B369FA"/>
    <w:rsid w:val="264F15BD"/>
    <w:rsid w:val="266733D3"/>
    <w:rsid w:val="27645A9B"/>
    <w:rsid w:val="27800843"/>
    <w:rsid w:val="27E16FE9"/>
    <w:rsid w:val="28FD4D08"/>
    <w:rsid w:val="293B63B4"/>
    <w:rsid w:val="29926B07"/>
    <w:rsid w:val="2997183E"/>
    <w:rsid w:val="299B05C8"/>
    <w:rsid w:val="29C71913"/>
    <w:rsid w:val="2A9B01C8"/>
    <w:rsid w:val="2B3633EA"/>
    <w:rsid w:val="2B4D6AD2"/>
    <w:rsid w:val="2B622698"/>
    <w:rsid w:val="2B6B0675"/>
    <w:rsid w:val="2BD632ED"/>
    <w:rsid w:val="2BD742F6"/>
    <w:rsid w:val="2C133994"/>
    <w:rsid w:val="2C3F2AAE"/>
    <w:rsid w:val="2CD66D2B"/>
    <w:rsid w:val="2D072A62"/>
    <w:rsid w:val="2E455428"/>
    <w:rsid w:val="2ED76992"/>
    <w:rsid w:val="2F001010"/>
    <w:rsid w:val="2F1250B1"/>
    <w:rsid w:val="2F35161A"/>
    <w:rsid w:val="2FCD0913"/>
    <w:rsid w:val="300F61D6"/>
    <w:rsid w:val="30E34B5B"/>
    <w:rsid w:val="31247BD9"/>
    <w:rsid w:val="32602061"/>
    <w:rsid w:val="327C16D2"/>
    <w:rsid w:val="329737BF"/>
    <w:rsid w:val="32E6591B"/>
    <w:rsid w:val="331C33EA"/>
    <w:rsid w:val="33BC6C2F"/>
    <w:rsid w:val="34735EB5"/>
    <w:rsid w:val="34B84B2B"/>
    <w:rsid w:val="351C3565"/>
    <w:rsid w:val="35A168E1"/>
    <w:rsid w:val="35E21C8C"/>
    <w:rsid w:val="360452B5"/>
    <w:rsid w:val="36A91469"/>
    <w:rsid w:val="36BE2597"/>
    <w:rsid w:val="373C26AD"/>
    <w:rsid w:val="38585CEA"/>
    <w:rsid w:val="38716BFA"/>
    <w:rsid w:val="38AC03D8"/>
    <w:rsid w:val="39173CE5"/>
    <w:rsid w:val="39260D5C"/>
    <w:rsid w:val="394F720D"/>
    <w:rsid w:val="3A4E7C86"/>
    <w:rsid w:val="3A8D4243"/>
    <w:rsid w:val="3ACA636A"/>
    <w:rsid w:val="3BAC18BE"/>
    <w:rsid w:val="3BB43885"/>
    <w:rsid w:val="3D1F7B50"/>
    <w:rsid w:val="3D9D3480"/>
    <w:rsid w:val="3DCA50C9"/>
    <w:rsid w:val="3E51440D"/>
    <w:rsid w:val="3E553448"/>
    <w:rsid w:val="3E830AD6"/>
    <w:rsid w:val="3EE875BC"/>
    <w:rsid w:val="3FB147E5"/>
    <w:rsid w:val="3FC85A47"/>
    <w:rsid w:val="401520D0"/>
    <w:rsid w:val="40327B5A"/>
    <w:rsid w:val="40EA7F5A"/>
    <w:rsid w:val="4112151A"/>
    <w:rsid w:val="41932089"/>
    <w:rsid w:val="41981CF5"/>
    <w:rsid w:val="42977DBA"/>
    <w:rsid w:val="42A73CFB"/>
    <w:rsid w:val="42F616D6"/>
    <w:rsid w:val="43BD7374"/>
    <w:rsid w:val="43F57407"/>
    <w:rsid w:val="44176AE8"/>
    <w:rsid w:val="444E5F44"/>
    <w:rsid w:val="44720C3D"/>
    <w:rsid w:val="449B4545"/>
    <w:rsid w:val="44D9593F"/>
    <w:rsid w:val="45830C88"/>
    <w:rsid w:val="4596141A"/>
    <w:rsid w:val="45B7339E"/>
    <w:rsid w:val="45DC267D"/>
    <w:rsid w:val="4614739B"/>
    <w:rsid w:val="463249DE"/>
    <w:rsid w:val="46C243B6"/>
    <w:rsid w:val="46C51EF4"/>
    <w:rsid w:val="476F4DB9"/>
    <w:rsid w:val="478231B7"/>
    <w:rsid w:val="47C853BD"/>
    <w:rsid w:val="486B4718"/>
    <w:rsid w:val="48727860"/>
    <w:rsid w:val="48F55F81"/>
    <w:rsid w:val="4A1D496A"/>
    <w:rsid w:val="4A7C3567"/>
    <w:rsid w:val="4A855882"/>
    <w:rsid w:val="4AAC23A8"/>
    <w:rsid w:val="4B026727"/>
    <w:rsid w:val="4B1B087E"/>
    <w:rsid w:val="4B240E75"/>
    <w:rsid w:val="4BB57840"/>
    <w:rsid w:val="4C4F280D"/>
    <w:rsid w:val="4C4F5C78"/>
    <w:rsid w:val="4C5B2C8D"/>
    <w:rsid w:val="4CD17919"/>
    <w:rsid w:val="4CF868A3"/>
    <w:rsid w:val="4DAA1745"/>
    <w:rsid w:val="4E223CE4"/>
    <w:rsid w:val="4E420FE4"/>
    <w:rsid w:val="4E812602"/>
    <w:rsid w:val="4EA37386"/>
    <w:rsid w:val="4F4335B6"/>
    <w:rsid w:val="4F7F6C20"/>
    <w:rsid w:val="4FB955B7"/>
    <w:rsid w:val="501C07CD"/>
    <w:rsid w:val="50752DEE"/>
    <w:rsid w:val="509D7B03"/>
    <w:rsid w:val="511605E1"/>
    <w:rsid w:val="514B319D"/>
    <w:rsid w:val="515A0218"/>
    <w:rsid w:val="524B6A7D"/>
    <w:rsid w:val="5263025C"/>
    <w:rsid w:val="53CB07DD"/>
    <w:rsid w:val="540637D5"/>
    <w:rsid w:val="54900C7D"/>
    <w:rsid w:val="54D80DD4"/>
    <w:rsid w:val="55235552"/>
    <w:rsid w:val="554F339C"/>
    <w:rsid w:val="559105A2"/>
    <w:rsid w:val="55B101CE"/>
    <w:rsid w:val="55F07A5D"/>
    <w:rsid w:val="56034144"/>
    <w:rsid w:val="563626E6"/>
    <w:rsid w:val="566001BC"/>
    <w:rsid w:val="57157A3F"/>
    <w:rsid w:val="57DA3A26"/>
    <w:rsid w:val="582830DC"/>
    <w:rsid w:val="58933833"/>
    <w:rsid w:val="59A2642E"/>
    <w:rsid w:val="59C857CD"/>
    <w:rsid w:val="59D32394"/>
    <w:rsid w:val="5B0A42A9"/>
    <w:rsid w:val="5B276F87"/>
    <w:rsid w:val="5B722854"/>
    <w:rsid w:val="5DCB5711"/>
    <w:rsid w:val="5DF46A5F"/>
    <w:rsid w:val="5E8252FE"/>
    <w:rsid w:val="5F19116A"/>
    <w:rsid w:val="5F400694"/>
    <w:rsid w:val="5F6174D1"/>
    <w:rsid w:val="609E224E"/>
    <w:rsid w:val="60DC30A9"/>
    <w:rsid w:val="61DC54F1"/>
    <w:rsid w:val="62420418"/>
    <w:rsid w:val="628A0126"/>
    <w:rsid w:val="630C2F58"/>
    <w:rsid w:val="63C20486"/>
    <w:rsid w:val="64B73831"/>
    <w:rsid w:val="64D0590D"/>
    <w:rsid w:val="655469D9"/>
    <w:rsid w:val="65554AB2"/>
    <w:rsid w:val="65612548"/>
    <w:rsid w:val="65DA0001"/>
    <w:rsid w:val="66556A9E"/>
    <w:rsid w:val="66821D38"/>
    <w:rsid w:val="668E2D32"/>
    <w:rsid w:val="688E2CEC"/>
    <w:rsid w:val="68A6402F"/>
    <w:rsid w:val="68F85670"/>
    <w:rsid w:val="6946442C"/>
    <w:rsid w:val="69CD594B"/>
    <w:rsid w:val="69E460D5"/>
    <w:rsid w:val="69FA0C41"/>
    <w:rsid w:val="6ADC485F"/>
    <w:rsid w:val="6B024631"/>
    <w:rsid w:val="6B321DAB"/>
    <w:rsid w:val="6B4D3FD3"/>
    <w:rsid w:val="6B6613DA"/>
    <w:rsid w:val="6B740564"/>
    <w:rsid w:val="6C1B03D6"/>
    <w:rsid w:val="6C216DAF"/>
    <w:rsid w:val="6C451571"/>
    <w:rsid w:val="6C602675"/>
    <w:rsid w:val="6CCD28C5"/>
    <w:rsid w:val="6CDA1E1A"/>
    <w:rsid w:val="6D60154F"/>
    <w:rsid w:val="6D982A91"/>
    <w:rsid w:val="6E5E1CE8"/>
    <w:rsid w:val="6E773D43"/>
    <w:rsid w:val="6E91052E"/>
    <w:rsid w:val="6EEB6A2D"/>
    <w:rsid w:val="6F0B0B16"/>
    <w:rsid w:val="6F0F6E6A"/>
    <w:rsid w:val="6F1E450E"/>
    <w:rsid w:val="70A9429F"/>
    <w:rsid w:val="70B73276"/>
    <w:rsid w:val="70F84A67"/>
    <w:rsid w:val="71354AB9"/>
    <w:rsid w:val="713F4AC7"/>
    <w:rsid w:val="714F5A65"/>
    <w:rsid w:val="71507953"/>
    <w:rsid w:val="719A37C5"/>
    <w:rsid w:val="72315091"/>
    <w:rsid w:val="724A67D7"/>
    <w:rsid w:val="72587C12"/>
    <w:rsid w:val="727E2509"/>
    <w:rsid w:val="72BD708C"/>
    <w:rsid w:val="72FE24A3"/>
    <w:rsid w:val="73060914"/>
    <w:rsid w:val="740C1D9C"/>
    <w:rsid w:val="743F34B7"/>
    <w:rsid w:val="744414F1"/>
    <w:rsid w:val="74F908B5"/>
    <w:rsid w:val="751273C7"/>
    <w:rsid w:val="755354EA"/>
    <w:rsid w:val="7556654C"/>
    <w:rsid w:val="755B4A39"/>
    <w:rsid w:val="75723145"/>
    <w:rsid w:val="759D02D4"/>
    <w:rsid w:val="75A830B7"/>
    <w:rsid w:val="761A4AEC"/>
    <w:rsid w:val="76330675"/>
    <w:rsid w:val="76727B71"/>
    <w:rsid w:val="76B23E0E"/>
    <w:rsid w:val="76D90D55"/>
    <w:rsid w:val="76DC7CFA"/>
    <w:rsid w:val="772104A7"/>
    <w:rsid w:val="77A01CB8"/>
    <w:rsid w:val="77B44A71"/>
    <w:rsid w:val="77E64AAE"/>
    <w:rsid w:val="77F521E8"/>
    <w:rsid w:val="78017982"/>
    <w:rsid w:val="78182E65"/>
    <w:rsid w:val="784000F0"/>
    <w:rsid w:val="78872DE0"/>
    <w:rsid w:val="789068D1"/>
    <w:rsid w:val="78BF549C"/>
    <w:rsid w:val="79A3621F"/>
    <w:rsid w:val="7A120BC3"/>
    <w:rsid w:val="7A5F28EE"/>
    <w:rsid w:val="7A731772"/>
    <w:rsid w:val="7A877DF0"/>
    <w:rsid w:val="7AA22230"/>
    <w:rsid w:val="7B721528"/>
    <w:rsid w:val="7B7C5C22"/>
    <w:rsid w:val="7B851D28"/>
    <w:rsid w:val="7BE67668"/>
    <w:rsid w:val="7C41308E"/>
    <w:rsid w:val="7CD63E51"/>
    <w:rsid w:val="7CE63E5A"/>
    <w:rsid w:val="7D140B3D"/>
    <w:rsid w:val="7D590E11"/>
    <w:rsid w:val="7DB83311"/>
    <w:rsid w:val="7DC929B3"/>
    <w:rsid w:val="7E2D65DC"/>
    <w:rsid w:val="7E480493"/>
    <w:rsid w:val="7E53107C"/>
    <w:rsid w:val="7F297504"/>
    <w:rsid w:val="7F3B655C"/>
    <w:rsid w:val="7FA824FE"/>
    <w:rsid w:val="7FEA47AE"/>
    <w:rsid w:val="7FFE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rules v:ext="edit">
        <o:r id="V:Rule1" type="connector" idref="#_x0000_s1026"/>
        <o:r id="V:Rule2" type="connector" idref="#_x0000_s1027"/>
        <o:r id="V:Rule3" type="connector" idref="#_x0000_s1028"/>
        <o:r id="V:Rule4"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pPr>
    <w:rPr>
      <w:rFonts w:ascii="Times New Roman" w:hAnsi="Times New Roman" w:eastAsia="仿宋" w:cs="Times New Roman"/>
      <w:kern w:val="2"/>
      <w:sz w:val="32"/>
      <w:szCs w:val="22"/>
      <w:lang w:val="en-US" w:eastAsia="zh-CN" w:bidi="ar-SA"/>
    </w:rPr>
  </w:style>
  <w:style w:type="paragraph" w:styleId="2">
    <w:name w:val="heading 1"/>
    <w:basedOn w:val="1"/>
    <w:next w:val="1"/>
    <w:qFormat/>
    <w:uiPriority w:val="9"/>
    <w:pPr>
      <w:widowControl/>
      <w:spacing w:before="100" w:beforeAutospacing="1" w:after="100" w:afterAutospacing="1"/>
      <w:outlineLvl w:val="0"/>
    </w:pPr>
    <w:rPr>
      <w:rFonts w:ascii="宋体" w:hAnsi="宋体" w:cs="宋体"/>
      <w:kern w:val="36"/>
      <w:sz w:val="18"/>
      <w:szCs w:val="18"/>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semiHidden/>
    <w:qFormat/>
    <w:uiPriority w:val="0"/>
    <w:rPr>
      <w:b/>
      <w:bCs/>
    </w:rPr>
  </w:style>
  <w:style w:type="paragraph" w:styleId="4">
    <w:name w:val="annotation text"/>
    <w:basedOn w:val="1"/>
    <w:unhideWhenUsed/>
    <w:qFormat/>
    <w:uiPriority w:val="99"/>
  </w:style>
  <w:style w:type="paragraph" w:styleId="5">
    <w:name w:val="Balloon Text"/>
    <w:basedOn w:val="1"/>
    <w:semiHidden/>
    <w:qFormat/>
    <w:uiPriority w:val="0"/>
    <w:rPr>
      <w:sz w:val="18"/>
      <w:szCs w:val="18"/>
    </w:rPr>
  </w:style>
  <w:style w:type="paragraph" w:styleId="6">
    <w:name w:val="footer"/>
    <w:basedOn w:val="1"/>
    <w:link w:val="15"/>
    <w:unhideWhenUsed/>
    <w:qFormat/>
    <w:uiPriority w:val="99"/>
    <w:pPr>
      <w:tabs>
        <w:tab w:val="center" w:pos="4153"/>
        <w:tab w:val="right" w:pos="8306"/>
      </w:tabs>
      <w:snapToGrid w:val="0"/>
      <w:spacing w:line="240" w:lineRule="atLeas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9">
    <w:name w:val="page number"/>
    <w:basedOn w:val="8"/>
    <w:unhideWhenUsed/>
    <w:qFormat/>
    <w:uiPriority w:val="99"/>
  </w:style>
  <w:style w:type="character" w:styleId="10">
    <w:name w:val="Hyperlink"/>
    <w:basedOn w:val="8"/>
    <w:unhideWhenUsed/>
    <w:qFormat/>
    <w:uiPriority w:val="99"/>
    <w:rPr>
      <w:color w:val="3665C3"/>
      <w:u w:val="none"/>
    </w:rPr>
  </w:style>
  <w:style w:type="character" w:styleId="11">
    <w:name w:val="annotation reference"/>
    <w:basedOn w:val="8"/>
    <w:semiHidden/>
    <w:qFormat/>
    <w:uiPriority w:val="0"/>
    <w:rPr>
      <w:sz w:val="21"/>
      <w:szCs w:val="21"/>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4">
    <w:name w:val="页眉 Char"/>
    <w:basedOn w:val="8"/>
    <w:link w:val="7"/>
    <w:semiHidden/>
    <w:qFormat/>
    <w:uiPriority w:val="99"/>
    <w:rPr>
      <w:rFonts w:eastAsia="仿宋"/>
      <w:sz w:val="18"/>
      <w:szCs w:val="18"/>
    </w:rPr>
  </w:style>
  <w:style w:type="character" w:customStyle="1" w:styleId="15">
    <w:name w:val="页脚 Char"/>
    <w:basedOn w:val="8"/>
    <w:link w:val="6"/>
    <w:qFormat/>
    <w:uiPriority w:val="99"/>
    <w:rPr>
      <w:rFonts w:eastAsia="仿宋"/>
      <w:sz w:val="18"/>
      <w:szCs w:val="18"/>
    </w:rPr>
  </w:style>
  <w:style w:type="paragraph" w:customStyle="1" w:styleId="16">
    <w:name w:val="本文正文"/>
    <w:basedOn w:val="1"/>
    <w:qFormat/>
    <w:uiPriority w:val="0"/>
    <w:pPr>
      <w:widowControl/>
      <w:spacing w:afterLines="50" w:line="520" w:lineRule="exact"/>
      <w:ind w:firstLine="560" w:firstLineChars="200"/>
    </w:pPr>
    <w:rPr>
      <w:rFonts w:ascii="宋体" w:hAnsi="宋体" w:eastAsia="仿宋_GB2312"/>
      <w:kern w:val="0"/>
      <w:sz w:val="28"/>
      <w:szCs w:val="28"/>
    </w:rPr>
  </w:style>
  <w:style w:type="paragraph" w:customStyle="1" w:styleId="17">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
    <w:name w:val="_Style 0"/>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9">
    <w:name w:val="List Paragraph"/>
    <w:basedOn w:val="1"/>
    <w:qFormat/>
    <w:uiPriority w:val="34"/>
    <w:pPr>
      <w:ind w:firstLine="420" w:firstLineChars="200"/>
    </w:pPr>
  </w:style>
  <w:style w:type="character" w:customStyle="1" w:styleId="20">
    <w:name w:val="big"/>
    <w:basedOn w:val="8"/>
    <w:qFormat/>
    <w:uiPriority w:val="0"/>
  </w:style>
  <w:style w:type="paragraph" w:customStyle="1" w:styleId="21">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2452</Words>
  <Characters>13978</Characters>
  <Lines>116</Lines>
  <Paragraphs>32</Paragraphs>
  <TotalTime>18</TotalTime>
  <ScaleCrop>false</ScaleCrop>
  <LinksUpToDate>false</LinksUpToDate>
  <CharactersWithSpaces>16398</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2018-12-24T01:03:00Z</dcterms:created>
  <dc:creator>关旻暐</dc:creator>
  <cp:lastModifiedBy>Administrator</cp:lastModifiedBy>
  <dcterms:modified xsi:type="dcterms:W3CDTF">2019-01-10T05:20:27Z</dcterms:modified>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